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FC5" w:rsidRDefault="005751A3">
      <w:pPr>
        <w:spacing w:after="20" w:line="264" w:lineRule="auto"/>
        <w:ind w:right="85"/>
        <w:jc w:val="center"/>
        <w:rPr>
          <w:color w:val="000000"/>
          <w:sz w:val="28"/>
          <w:szCs w:val="28"/>
        </w:rPr>
      </w:pPr>
      <w:r>
        <w:rPr>
          <w:color w:val="000000"/>
          <w:sz w:val="28"/>
          <w:szCs w:val="28"/>
        </w:rPr>
        <w:t>UNIVERSIDADE ESTADUAL DE MARINGÁ</w:t>
      </w:r>
    </w:p>
    <w:p w:rsidR="00F37FC5" w:rsidRDefault="005751A3">
      <w:pPr>
        <w:spacing w:after="20" w:line="264" w:lineRule="auto"/>
        <w:ind w:right="85"/>
        <w:jc w:val="center"/>
        <w:rPr>
          <w:color w:val="000000"/>
          <w:sz w:val="28"/>
          <w:szCs w:val="28"/>
        </w:rPr>
      </w:pPr>
      <w:r>
        <w:rPr>
          <w:color w:val="000000"/>
          <w:sz w:val="28"/>
          <w:szCs w:val="28"/>
        </w:rPr>
        <w:t>CENTRO DE CIÊNCIAS AGRÁRIAS</w:t>
      </w:r>
    </w:p>
    <w:p w:rsidR="00F37FC5" w:rsidRDefault="005751A3">
      <w:pPr>
        <w:spacing w:after="20" w:line="264" w:lineRule="auto"/>
        <w:ind w:right="85"/>
        <w:jc w:val="center"/>
        <w:rPr>
          <w:color w:val="000000"/>
          <w:sz w:val="28"/>
          <w:szCs w:val="28"/>
        </w:rPr>
      </w:pPr>
      <w:r>
        <w:rPr>
          <w:color w:val="000000"/>
          <w:sz w:val="28"/>
          <w:szCs w:val="28"/>
        </w:rPr>
        <w:t>DEPARTAMENTO DE ZOOTECNIA</w:t>
      </w: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514307" w:rsidP="00915C7C">
      <w:pPr>
        <w:spacing w:after="20" w:line="264" w:lineRule="auto"/>
        <w:ind w:right="85"/>
        <w:jc w:val="center"/>
        <w:rPr>
          <w:b/>
          <w:caps/>
          <w:color w:val="000000"/>
          <w:sz w:val="32"/>
          <w:szCs w:val="32"/>
        </w:rPr>
      </w:pPr>
      <w:r>
        <w:rPr>
          <w:b/>
          <w:caps/>
          <w:sz w:val="32"/>
          <w:szCs w:val="32"/>
        </w:rPr>
        <w:t xml:space="preserve">Resposta inflamatória </w:t>
      </w:r>
      <w:r w:rsidR="00915C7C">
        <w:rPr>
          <w:b/>
          <w:caps/>
          <w:sz w:val="32"/>
          <w:szCs w:val="32"/>
        </w:rPr>
        <w:t>DE</w:t>
      </w:r>
      <w:r>
        <w:rPr>
          <w:b/>
          <w:caps/>
          <w:sz w:val="32"/>
          <w:szCs w:val="32"/>
        </w:rPr>
        <w:t xml:space="preserve"> leitões recém-desmamados com artrite induzida por adjuvante</w:t>
      </w:r>
    </w:p>
    <w:p w:rsidR="00F37FC5" w:rsidRDefault="00F37FC5">
      <w:pPr>
        <w:spacing w:after="20" w:line="264" w:lineRule="auto"/>
        <w:ind w:right="85"/>
        <w:jc w:val="center"/>
        <w:rPr>
          <w:caps/>
          <w:color w:val="000000"/>
        </w:rPr>
      </w:pPr>
    </w:p>
    <w:p w:rsidR="00F37FC5" w:rsidRDefault="00F37FC5">
      <w:pPr>
        <w:spacing w:after="20" w:line="264" w:lineRule="auto"/>
        <w:ind w:right="85"/>
        <w:jc w:val="center"/>
        <w:rPr>
          <w:b/>
          <w:caps/>
          <w:color w:val="000000"/>
        </w:rPr>
      </w:pPr>
    </w:p>
    <w:p w:rsidR="00F37FC5" w:rsidRDefault="00F37FC5">
      <w:pPr>
        <w:spacing w:after="20" w:line="264" w:lineRule="auto"/>
        <w:ind w:right="85"/>
        <w:jc w:val="center"/>
        <w:rPr>
          <w:caps/>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b/>
          <w:color w:val="000000"/>
        </w:rPr>
      </w:pPr>
    </w:p>
    <w:p w:rsidR="00F37FC5" w:rsidRDefault="005751A3">
      <w:pPr>
        <w:spacing w:after="20" w:line="264" w:lineRule="auto"/>
        <w:ind w:right="85"/>
        <w:jc w:val="right"/>
        <w:rPr>
          <w:color w:val="000000"/>
          <w:sz w:val="28"/>
          <w:szCs w:val="28"/>
        </w:rPr>
      </w:pPr>
      <w:r>
        <w:rPr>
          <w:color w:val="000000"/>
          <w:sz w:val="28"/>
          <w:szCs w:val="28"/>
        </w:rPr>
        <w:t>Autor: Gabriel Amaral de Araujo</w:t>
      </w:r>
    </w:p>
    <w:p w:rsidR="00F37FC5" w:rsidRDefault="005751A3">
      <w:pPr>
        <w:spacing w:after="20" w:line="264" w:lineRule="auto"/>
        <w:ind w:right="85"/>
        <w:jc w:val="right"/>
        <w:rPr>
          <w:color w:val="000000"/>
          <w:sz w:val="28"/>
          <w:szCs w:val="28"/>
        </w:rPr>
      </w:pPr>
      <w:r>
        <w:rPr>
          <w:color w:val="000000"/>
          <w:sz w:val="28"/>
          <w:szCs w:val="28"/>
        </w:rPr>
        <w:t xml:space="preserve">Orientador: Prof. Dr. Leandro Dalcin Castilha </w:t>
      </w:r>
    </w:p>
    <w:p w:rsidR="00F37FC5" w:rsidRDefault="005751A3">
      <w:pPr>
        <w:spacing w:after="20" w:line="264" w:lineRule="auto"/>
        <w:ind w:right="85"/>
        <w:jc w:val="right"/>
        <w:rPr>
          <w:color w:val="000000"/>
          <w:sz w:val="28"/>
          <w:szCs w:val="28"/>
        </w:rPr>
      </w:pPr>
      <w:r>
        <w:rPr>
          <w:color w:val="000000"/>
          <w:sz w:val="28"/>
          <w:szCs w:val="28"/>
        </w:rPr>
        <w:t>Coorientador: Prof. Dr. Paulo Cesar Pozza</w:t>
      </w: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color w:val="000000"/>
          <w:sz w:val="28"/>
          <w:szCs w:val="28"/>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F37FC5">
      <w:pPr>
        <w:spacing w:after="20" w:line="264" w:lineRule="auto"/>
        <w:ind w:right="85"/>
        <w:jc w:val="center"/>
        <w:rPr>
          <w:b/>
          <w:color w:val="000000"/>
        </w:rPr>
      </w:pPr>
    </w:p>
    <w:p w:rsidR="00F37FC5" w:rsidRDefault="005751A3">
      <w:pPr>
        <w:spacing w:after="20" w:line="264" w:lineRule="auto"/>
        <w:ind w:right="85"/>
        <w:jc w:val="center"/>
        <w:rPr>
          <w:color w:val="000000"/>
        </w:rPr>
      </w:pPr>
      <w:r>
        <w:rPr>
          <w:color w:val="000000"/>
        </w:rPr>
        <w:t>MARINGÁ</w:t>
      </w:r>
    </w:p>
    <w:p w:rsidR="00F37FC5" w:rsidRDefault="005751A3">
      <w:pPr>
        <w:spacing w:after="20" w:line="264" w:lineRule="auto"/>
        <w:ind w:right="85"/>
        <w:jc w:val="center"/>
        <w:rPr>
          <w:color w:val="000000"/>
        </w:rPr>
      </w:pPr>
      <w:r>
        <w:rPr>
          <w:color w:val="000000"/>
        </w:rPr>
        <w:t>Estado do Paraná</w:t>
      </w:r>
    </w:p>
    <w:p w:rsidR="00BF12C5" w:rsidRDefault="00D03A0F" w:rsidP="00BF12C5">
      <w:pPr>
        <w:spacing w:after="20" w:line="264" w:lineRule="auto"/>
        <w:ind w:right="85"/>
        <w:jc w:val="center"/>
        <w:rPr>
          <w:color w:val="000000"/>
        </w:rPr>
      </w:pPr>
      <w:r>
        <w:rPr>
          <w:color w:val="000000"/>
        </w:rPr>
        <w:t>Novembro</w:t>
      </w:r>
      <w:r w:rsidR="005751A3">
        <w:rPr>
          <w:color w:val="000000"/>
        </w:rPr>
        <w:t>/2019</w:t>
      </w:r>
    </w:p>
    <w:p w:rsidR="00F37FC5" w:rsidRDefault="005751A3" w:rsidP="00BF12C5">
      <w:pPr>
        <w:spacing w:after="20" w:line="264" w:lineRule="auto"/>
        <w:ind w:right="85"/>
        <w:jc w:val="center"/>
        <w:rPr>
          <w:color w:val="000000"/>
          <w:sz w:val="28"/>
          <w:szCs w:val="28"/>
        </w:rPr>
      </w:pPr>
      <w:r>
        <w:rPr>
          <w:color w:val="000000"/>
          <w:sz w:val="28"/>
          <w:szCs w:val="28"/>
        </w:rPr>
        <w:lastRenderedPageBreak/>
        <w:t>UNIVERSIDADE ESTADUAL DE MARINGÁ</w:t>
      </w:r>
    </w:p>
    <w:p w:rsidR="00F37FC5" w:rsidRDefault="005751A3">
      <w:pPr>
        <w:spacing w:after="20" w:line="264" w:lineRule="auto"/>
        <w:ind w:right="85"/>
        <w:jc w:val="center"/>
        <w:rPr>
          <w:color w:val="000000"/>
          <w:sz w:val="28"/>
          <w:szCs w:val="28"/>
        </w:rPr>
      </w:pPr>
      <w:r>
        <w:rPr>
          <w:color w:val="000000"/>
          <w:sz w:val="28"/>
          <w:szCs w:val="28"/>
        </w:rPr>
        <w:t>CENTRO DE CIÊNCIAS AGRÁRIAS</w:t>
      </w:r>
    </w:p>
    <w:p w:rsidR="00F37FC5" w:rsidRDefault="005751A3">
      <w:pPr>
        <w:spacing w:after="20" w:line="264" w:lineRule="auto"/>
        <w:ind w:right="85"/>
        <w:jc w:val="center"/>
        <w:rPr>
          <w:color w:val="000000"/>
          <w:sz w:val="28"/>
          <w:szCs w:val="28"/>
        </w:rPr>
      </w:pPr>
      <w:r>
        <w:rPr>
          <w:color w:val="000000"/>
          <w:sz w:val="28"/>
          <w:szCs w:val="28"/>
        </w:rPr>
        <w:t>DEPARTAMENTO DE ZOOTECNIA</w:t>
      </w: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514307" w:rsidRDefault="00514307" w:rsidP="00514307">
      <w:pPr>
        <w:spacing w:after="20" w:line="264" w:lineRule="auto"/>
        <w:ind w:right="85"/>
        <w:jc w:val="center"/>
        <w:rPr>
          <w:b/>
          <w:caps/>
          <w:color w:val="000000"/>
          <w:sz w:val="32"/>
          <w:szCs w:val="32"/>
        </w:rPr>
      </w:pPr>
      <w:r>
        <w:rPr>
          <w:b/>
          <w:caps/>
          <w:sz w:val="32"/>
          <w:szCs w:val="32"/>
        </w:rPr>
        <w:t>Resposta inflamatória de leitões recém-desmamados com artrite induzida por adjuvante</w:t>
      </w: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color w:val="000000"/>
        </w:rPr>
      </w:pPr>
    </w:p>
    <w:p w:rsidR="00F37FC5" w:rsidRDefault="00F37FC5">
      <w:pPr>
        <w:spacing w:after="20" w:line="264" w:lineRule="auto"/>
        <w:ind w:right="85"/>
        <w:jc w:val="center"/>
        <w:rPr>
          <w:b/>
          <w:color w:val="000000"/>
        </w:rPr>
      </w:pPr>
    </w:p>
    <w:p w:rsidR="00F37FC5" w:rsidRDefault="005751A3">
      <w:pPr>
        <w:spacing w:after="20" w:line="264" w:lineRule="auto"/>
        <w:ind w:right="85"/>
        <w:jc w:val="right"/>
        <w:rPr>
          <w:color w:val="000000"/>
          <w:sz w:val="28"/>
          <w:szCs w:val="28"/>
        </w:rPr>
      </w:pPr>
      <w:r>
        <w:rPr>
          <w:color w:val="000000"/>
          <w:sz w:val="28"/>
          <w:szCs w:val="28"/>
        </w:rPr>
        <w:t>Autor: Gabriel Amaral de Araujo</w:t>
      </w:r>
    </w:p>
    <w:p w:rsidR="00F37FC5" w:rsidRDefault="005751A3">
      <w:pPr>
        <w:spacing w:after="20" w:line="264" w:lineRule="auto"/>
        <w:ind w:right="85"/>
        <w:jc w:val="right"/>
        <w:rPr>
          <w:color w:val="000000"/>
          <w:sz w:val="28"/>
          <w:szCs w:val="28"/>
        </w:rPr>
      </w:pPr>
      <w:r>
        <w:rPr>
          <w:color w:val="000000"/>
          <w:sz w:val="28"/>
          <w:szCs w:val="28"/>
        </w:rPr>
        <w:t xml:space="preserve">Orientador: Prof. Dr. Leandro Dalcin Castilha </w:t>
      </w:r>
    </w:p>
    <w:p w:rsidR="00F37FC5" w:rsidRDefault="005751A3">
      <w:pPr>
        <w:spacing w:after="20" w:line="264" w:lineRule="auto"/>
        <w:ind w:right="85"/>
        <w:jc w:val="right"/>
        <w:rPr>
          <w:color w:val="000000"/>
          <w:sz w:val="28"/>
          <w:szCs w:val="28"/>
        </w:rPr>
      </w:pPr>
      <w:r>
        <w:rPr>
          <w:color w:val="000000"/>
          <w:sz w:val="28"/>
          <w:szCs w:val="28"/>
        </w:rPr>
        <w:t>Coorientador: Prof. Dr. Paulo Cesar Pozza</w:t>
      </w:r>
    </w:p>
    <w:p w:rsidR="00F37FC5" w:rsidRDefault="00F37FC5">
      <w:pPr>
        <w:spacing w:after="20" w:line="264" w:lineRule="auto"/>
        <w:ind w:right="85"/>
        <w:jc w:val="center"/>
        <w:rPr>
          <w:color w:val="000000"/>
          <w:sz w:val="28"/>
          <w:szCs w:val="28"/>
        </w:rPr>
      </w:pPr>
    </w:p>
    <w:p w:rsidR="00F37FC5" w:rsidRDefault="00F37FC5">
      <w:pPr>
        <w:spacing w:after="20"/>
        <w:ind w:right="85"/>
        <w:jc w:val="center"/>
        <w:rPr>
          <w:color w:val="000000"/>
          <w:sz w:val="28"/>
          <w:szCs w:val="28"/>
        </w:rPr>
      </w:pPr>
    </w:p>
    <w:p w:rsidR="00F37FC5" w:rsidRDefault="00F37FC5">
      <w:pPr>
        <w:spacing w:after="20"/>
        <w:ind w:right="85"/>
        <w:jc w:val="center"/>
        <w:rPr>
          <w:color w:val="000000"/>
          <w:sz w:val="28"/>
          <w:szCs w:val="28"/>
        </w:rPr>
      </w:pPr>
    </w:p>
    <w:p w:rsidR="00F37FC5" w:rsidRDefault="00F37FC5">
      <w:pPr>
        <w:spacing w:after="20"/>
        <w:ind w:right="85"/>
        <w:jc w:val="center"/>
        <w:rPr>
          <w:color w:val="000000"/>
          <w:sz w:val="28"/>
          <w:szCs w:val="28"/>
        </w:rPr>
      </w:pPr>
    </w:p>
    <w:p w:rsidR="00F37FC5" w:rsidRDefault="005751A3">
      <w:pPr>
        <w:pStyle w:val="Corpodetexto21"/>
        <w:spacing w:after="100" w:afterAutospacing="1"/>
        <w:ind w:left="4536"/>
        <w:rPr>
          <w:color w:val="auto"/>
        </w:rPr>
      </w:pPr>
      <w:r>
        <w:rPr>
          <w:color w:val="auto"/>
          <w:szCs w:val="24"/>
        </w:rPr>
        <w:t>“</w:t>
      </w:r>
      <w:r w:rsidR="0034711D">
        <w:rPr>
          <w:color w:val="auto"/>
        </w:rPr>
        <w:t>Trabalho de C</w:t>
      </w:r>
      <w:r>
        <w:rPr>
          <w:color w:val="auto"/>
        </w:rPr>
        <w:t xml:space="preserve">onclusão de </w:t>
      </w:r>
      <w:r w:rsidR="0034711D">
        <w:rPr>
          <w:color w:val="auto"/>
        </w:rPr>
        <w:t>C</w:t>
      </w:r>
      <w:r>
        <w:rPr>
          <w:color w:val="auto"/>
        </w:rPr>
        <w:t xml:space="preserve">urso apresentado como parte das exigências para obtenção do título de ZOOTECNISTA da Universidade Estadual de Maringá - Área de Concentração: </w:t>
      </w:r>
      <w:r w:rsidR="00D03A0F">
        <w:rPr>
          <w:color w:val="auto"/>
        </w:rPr>
        <w:t>Suinocultura.</w:t>
      </w:r>
      <w:r w:rsidR="00D03A0F">
        <w:rPr>
          <w:color w:val="auto"/>
          <w:szCs w:val="24"/>
        </w:rPr>
        <w:t>”</w:t>
      </w:r>
    </w:p>
    <w:p w:rsidR="00F37FC5" w:rsidRDefault="00F37FC5">
      <w:pPr>
        <w:tabs>
          <w:tab w:val="left" w:pos="6705"/>
        </w:tabs>
        <w:spacing w:after="20" w:line="264" w:lineRule="auto"/>
        <w:ind w:right="85"/>
        <w:rPr>
          <w:color w:val="000000"/>
        </w:rPr>
      </w:pPr>
    </w:p>
    <w:p w:rsidR="00915C7C" w:rsidRDefault="00915C7C">
      <w:pPr>
        <w:tabs>
          <w:tab w:val="left" w:pos="6705"/>
        </w:tabs>
        <w:spacing w:after="20" w:line="264" w:lineRule="auto"/>
        <w:ind w:right="85"/>
        <w:rPr>
          <w:color w:val="000000"/>
        </w:rPr>
      </w:pPr>
    </w:p>
    <w:p w:rsidR="00915C7C" w:rsidRDefault="00915C7C">
      <w:pPr>
        <w:tabs>
          <w:tab w:val="left" w:pos="6705"/>
        </w:tabs>
        <w:spacing w:after="20" w:line="264" w:lineRule="auto"/>
        <w:ind w:right="85"/>
        <w:rPr>
          <w:color w:val="000000"/>
        </w:rPr>
      </w:pPr>
    </w:p>
    <w:p w:rsidR="00F37FC5" w:rsidRDefault="00F37FC5">
      <w:pPr>
        <w:spacing w:after="20" w:line="264" w:lineRule="auto"/>
        <w:ind w:right="85"/>
        <w:jc w:val="center"/>
        <w:rPr>
          <w:b/>
          <w:color w:val="000000"/>
        </w:rPr>
      </w:pPr>
    </w:p>
    <w:p w:rsidR="00F37FC5" w:rsidRDefault="005751A3">
      <w:pPr>
        <w:spacing w:after="20" w:line="264" w:lineRule="auto"/>
        <w:ind w:right="85"/>
        <w:jc w:val="center"/>
        <w:rPr>
          <w:color w:val="000000"/>
        </w:rPr>
      </w:pPr>
      <w:r>
        <w:rPr>
          <w:color w:val="000000"/>
        </w:rPr>
        <w:t>MARINGÁ</w:t>
      </w:r>
    </w:p>
    <w:p w:rsidR="00F37FC5" w:rsidRDefault="005751A3">
      <w:pPr>
        <w:spacing w:after="20" w:line="264" w:lineRule="auto"/>
        <w:ind w:right="85"/>
        <w:jc w:val="center"/>
        <w:rPr>
          <w:color w:val="000000"/>
        </w:rPr>
      </w:pPr>
      <w:r>
        <w:rPr>
          <w:color w:val="000000"/>
        </w:rPr>
        <w:t>Estado do Paraná</w:t>
      </w:r>
    </w:p>
    <w:p w:rsidR="001505AB" w:rsidRDefault="00D03A0F" w:rsidP="00EF0BB6">
      <w:pPr>
        <w:spacing w:after="20" w:line="264" w:lineRule="auto"/>
        <w:ind w:right="85"/>
        <w:jc w:val="center"/>
        <w:rPr>
          <w:color w:val="000000"/>
        </w:rPr>
      </w:pPr>
      <w:r>
        <w:rPr>
          <w:color w:val="000000"/>
        </w:rPr>
        <w:t>Novembro</w:t>
      </w:r>
      <w:r w:rsidR="005751A3">
        <w:rPr>
          <w:color w:val="000000"/>
        </w:rPr>
        <w:t>/2019</w:t>
      </w:r>
    </w:p>
    <w:p w:rsidR="00915C7C" w:rsidRPr="00915C7C" w:rsidRDefault="001505AB" w:rsidP="001505AB">
      <w:pPr>
        <w:jc w:val="center"/>
        <w:rPr>
          <w:b/>
          <w:bCs/>
          <w:noProof/>
          <w:color w:val="000000"/>
        </w:rPr>
      </w:pPr>
      <w:r w:rsidRPr="00154F94">
        <w:br w:type="page"/>
      </w:r>
      <w:r w:rsidR="00915C7C" w:rsidRPr="00915C7C">
        <w:rPr>
          <w:b/>
          <w:bCs/>
          <w:noProof/>
          <w:color w:val="000000"/>
        </w:rPr>
        <w:lastRenderedPageBreak/>
        <w:t>FOLHA DE APROVAÇÃO</w:t>
      </w:r>
    </w:p>
    <w:p w:rsidR="00915C7C" w:rsidRDefault="00915C7C" w:rsidP="001505AB">
      <w:pPr>
        <w:jc w:val="center"/>
        <w:rPr>
          <w:bCs/>
          <w:sz w:val="28"/>
          <w:szCs w:val="28"/>
        </w:rPr>
      </w:pPr>
      <w:r>
        <w:rPr>
          <w:noProof/>
          <w:color w:val="000000"/>
        </w:rPr>
        <w:drawing>
          <wp:inline distT="0" distB="0" distL="0" distR="0" wp14:anchorId="751E76B1" wp14:editId="2CBC5E83">
            <wp:extent cx="5645507" cy="833513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5411" t="4781" r="11215" b="5494"/>
                    <a:stretch>
                      <a:fillRect/>
                    </a:stretch>
                  </pic:blipFill>
                  <pic:spPr bwMode="auto">
                    <a:xfrm>
                      <a:off x="0" y="0"/>
                      <a:ext cx="5656139" cy="8350830"/>
                    </a:xfrm>
                    <a:prstGeom prst="rect">
                      <a:avLst/>
                    </a:prstGeom>
                    <a:noFill/>
                    <a:ln w="9525">
                      <a:noFill/>
                      <a:miter lim="800000"/>
                      <a:headEnd/>
                      <a:tailEnd/>
                    </a:ln>
                  </pic:spPr>
                </pic:pic>
              </a:graphicData>
            </a:graphic>
          </wp:inline>
        </w:drawing>
      </w:r>
    </w:p>
    <w:p w:rsidR="00F37FC5" w:rsidRDefault="005751A3" w:rsidP="001505AB">
      <w:pPr>
        <w:jc w:val="center"/>
        <w:rPr>
          <w:bCs/>
        </w:rPr>
      </w:pPr>
      <w:r>
        <w:rPr>
          <w:bCs/>
          <w:sz w:val="28"/>
          <w:szCs w:val="28"/>
        </w:rPr>
        <w:lastRenderedPageBreak/>
        <w:t>AGRADECIMENTOS</w:t>
      </w:r>
    </w:p>
    <w:p w:rsidR="00381288" w:rsidRDefault="00381288" w:rsidP="00381288">
      <w:pPr>
        <w:suppressLineNumbers/>
        <w:autoSpaceDE w:val="0"/>
        <w:autoSpaceDN w:val="0"/>
        <w:adjustRightInd w:val="0"/>
        <w:spacing w:line="480" w:lineRule="auto"/>
        <w:ind w:firstLine="567"/>
        <w:jc w:val="both"/>
      </w:pPr>
    </w:p>
    <w:p w:rsidR="00DA0D3D" w:rsidRDefault="00DA0D3D" w:rsidP="00381288">
      <w:pPr>
        <w:suppressLineNumbers/>
        <w:autoSpaceDE w:val="0"/>
        <w:autoSpaceDN w:val="0"/>
        <w:adjustRightInd w:val="0"/>
        <w:spacing w:line="480" w:lineRule="auto"/>
        <w:ind w:firstLine="567"/>
        <w:jc w:val="both"/>
      </w:pPr>
      <w:r>
        <w:t>Em primeiro lugar agradeço a Deus.</w:t>
      </w:r>
    </w:p>
    <w:p w:rsidR="0080214B" w:rsidRDefault="00DA0D3D" w:rsidP="00381288">
      <w:pPr>
        <w:suppressLineNumbers/>
        <w:autoSpaceDE w:val="0"/>
        <w:autoSpaceDN w:val="0"/>
        <w:adjustRightInd w:val="0"/>
        <w:spacing w:line="480" w:lineRule="auto"/>
        <w:ind w:firstLine="567"/>
        <w:jc w:val="both"/>
      </w:pPr>
      <w:r>
        <w:t>Ao meu orientador Prof. Dr. Leandro Dalcin Castilha pelas oportunidades, ensinamentos e auxílio no desenvolvimento desse estudo</w:t>
      </w:r>
      <w:r w:rsidR="0080214B">
        <w:t>, sempre presente e disponível para ajudar</w:t>
      </w:r>
      <w:r w:rsidR="00381288">
        <w:t xml:space="preserve"> e ensinar</w:t>
      </w:r>
      <w:r>
        <w:t xml:space="preserve">, </w:t>
      </w:r>
      <w:r w:rsidR="0080214B">
        <w:t xml:space="preserve">agradeço </w:t>
      </w:r>
      <w:r>
        <w:t>por toda orientação e paciência</w:t>
      </w:r>
      <w:r w:rsidR="0080214B">
        <w:t>. T</w:t>
      </w:r>
      <w:r>
        <w:t xml:space="preserve">ambém ao meu coorientador </w:t>
      </w:r>
      <w:r w:rsidR="0080214B">
        <w:t xml:space="preserve">Prof. </w:t>
      </w:r>
      <w:r>
        <w:t xml:space="preserve">Dr. Paulo César Pozza, ambos são </w:t>
      </w:r>
      <w:r w:rsidR="0080214B">
        <w:t>um grande</w:t>
      </w:r>
      <w:r>
        <w:t xml:space="preserve"> exemplo</w:t>
      </w:r>
      <w:r w:rsidR="0080214B">
        <w:t xml:space="preserve"> de professores para mim.</w:t>
      </w:r>
    </w:p>
    <w:p w:rsidR="0080214B" w:rsidRDefault="0080214B" w:rsidP="00381288">
      <w:pPr>
        <w:suppressLineNumbers/>
        <w:autoSpaceDE w:val="0"/>
        <w:autoSpaceDN w:val="0"/>
        <w:adjustRightInd w:val="0"/>
        <w:spacing w:line="480" w:lineRule="auto"/>
        <w:ind w:firstLine="567"/>
        <w:jc w:val="both"/>
      </w:pPr>
      <w:r>
        <w:t>À Universidade Estadual de Maringá, a Fazenda Experimental de Iguatemi e todos professores, funcionários e colaboradores fundamentais para meu aprendizado e conclusão da graduação em Zootecnia.</w:t>
      </w:r>
    </w:p>
    <w:p w:rsidR="00DA0D3D" w:rsidRDefault="00DA0D3D" w:rsidP="00381288">
      <w:pPr>
        <w:suppressLineNumbers/>
        <w:autoSpaceDE w:val="0"/>
        <w:autoSpaceDN w:val="0"/>
        <w:adjustRightInd w:val="0"/>
        <w:spacing w:line="480" w:lineRule="auto"/>
        <w:ind w:firstLine="567"/>
        <w:jc w:val="both"/>
      </w:pPr>
      <w:r>
        <w:t>Aos meus amigos do Grupo de Pesquisas em suínos – UEM, em especial ao Gustavo Henrique de Araújo, Leonardo Ferreira</w:t>
      </w:r>
      <w:r w:rsidR="0080214B">
        <w:t>,</w:t>
      </w:r>
      <w:r>
        <w:t xml:space="preserve"> Isabela Leal</w:t>
      </w:r>
      <w:r w:rsidR="0080214B">
        <w:t xml:space="preserve"> e ao egresso Higor Pavão, por toda ajuda, companheirismo e bons momentos. Aos meus amigos do curso de Zootecnia Luana Freitas, Marcos Pereira, Felipe Augusto, Raquel Moreli e Bruna Caroline</w:t>
      </w:r>
      <w:r w:rsidR="00381288">
        <w:t>, por todos nossos momentos juntos.</w:t>
      </w:r>
    </w:p>
    <w:p w:rsidR="00381288" w:rsidRDefault="00381288" w:rsidP="00381288">
      <w:pPr>
        <w:suppressLineNumbers/>
        <w:autoSpaceDE w:val="0"/>
        <w:autoSpaceDN w:val="0"/>
        <w:adjustRightInd w:val="0"/>
        <w:spacing w:line="480" w:lineRule="auto"/>
        <w:ind w:firstLine="567"/>
        <w:jc w:val="both"/>
      </w:pPr>
      <w:r>
        <w:t>À minha família, meu pai Sr. Lindomar Morbach de Araujo, minha mãe Sra. Tereza Amaral de Araujo e meu irmão Rafael Amaral de Araujo por todo apoio durante toda minha vida, essenciais para minha formação profissional e pessoal, muito obrigado por todo carinho.</w:t>
      </w:r>
    </w:p>
    <w:p w:rsidR="00F37FC5" w:rsidRDefault="005751A3">
      <w:pPr>
        <w:suppressLineNumbers/>
        <w:autoSpaceDE w:val="0"/>
        <w:autoSpaceDN w:val="0"/>
        <w:adjustRightInd w:val="0"/>
        <w:jc w:val="center"/>
      </w:pPr>
      <w:r>
        <w:br w:type="page"/>
      </w:r>
    </w:p>
    <w:p w:rsidR="00F37FC5" w:rsidRDefault="005751A3" w:rsidP="00EF0BB6">
      <w:pPr>
        <w:suppressLineNumbers/>
        <w:autoSpaceDE w:val="0"/>
        <w:autoSpaceDN w:val="0"/>
        <w:adjustRightInd w:val="0"/>
        <w:jc w:val="center"/>
        <w:rPr>
          <w:sz w:val="28"/>
          <w:szCs w:val="28"/>
        </w:rPr>
      </w:pPr>
      <w:r>
        <w:rPr>
          <w:sz w:val="28"/>
          <w:szCs w:val="28"/>
        </w:rPr>
        <w:lastRenderedPageBreak/>
        <w:t>BIOGRAFIA DO AUTOR</w:t>
      </w:r>
    </w:p>
    <w:p w:rsidR="00EF0BB6" w:rsidRPr="00EF0BB6" w:rsidRDefault="00EF0BB6" w:rsidP="00EF0BB6">
      <w:pPr>
        <w:suppressLineNumbers/>
        <w:autoSpaceDE w:val="0"/>
        <w:autoSpaceDN w:val="0"/>
        <w:adjustRightInd w:val="0"/>
        <w:jc w:val="center"/>
        <w:rPr>
          <w:sz w:val="28"/>
          <w:szCs w:val="28"/>
        </w:rPr>
      </w:pPr>
    </w:p>
    <w:p w:rsidR="00F37FC5" w:rsidRDefault="005751A3" w:rsidP="00381288">
      <w:pPr>
        <w:suppressLineNumbers/>
        <w:autoSpaceDE w:val="0"/>
        <w:autoSpaceDN w:val="0"/>
        <w:adjustRightInd w:val="0"/>
        <w:spacing w:after="0" w:line="480" w:lineRule="auto"/>
        <w:ind w:firstLine="709"/>
        <w:jc w:val="both"/>
      </w:pPr>
      <w:r>
        <w:t>Gabriel Amaral de Araujo, filho d</w:t>
      </w:r>
      <w:r w:rsidR="00531EC0">
        <w:t xml:space="preserve">o Sr. </w:t>
      </w:r>
      <w:r>
        <w:t xml:space="preserve">Lindomar Morbach de Araujo e </w:t>
      </w:r>
      <w:r w:rsidR="009D6D14">
        <w:t>Sra</w:t>
      </w:r>
      <w:r w:rsidR="0034711D">
        <w:t>.</w:t>
      </w:r>
      <w:r w:rsidR="00531EC0">
        <w:t xml:space="preserve"> </w:t>
      </w:r>
      <w:r>
        <w:t>Tereza Amaral de Araujo, nasceu em Marialva, Paraná, no dia 26 de janeiro de 1998.</w:t>
      </w:r>
    </w:p>
    <w:p w:rsidR="00F37FC5" w:rsidRDefault="005751A3" w:rsidP="00381288">
      <w:pPr>
        <w:suppressLineNumbers/>
        <w:autoSpaceDE w:val="0"/>
        <w:autoSpaceDN w:val="0"/>
        <w:adjustRightInd w:val="0"/>
        <w:spacing w:after="0" w:line="480" w:lineRule="auto"/>
        <w:ind w:firstLine="709"/>
        <w:jc w:val="both"/>
      </w:pPr>
      <w:r>
        <w:t>Em 2015</w:t>
      </w:r>
      <w:r w:rsidR="0034711D">
        <w:t>,</w:t>
      </w:r>
      <w:r>
        <w:t xml:space="preserve"> iniciou o curso de graduação em Zootecnia na Universidade Estadual de Maringá.</w:t>
      </w:r>
    </w:p>
    <w:p w:rsidR="00F37FC5" w:rsidRDefault="005751A3" w:rsidP="00381288">
      <w:pPr>
        <w:suppressLineNumbers/>
        <w:autoSpaceDE w:val="0"/>
        <w:autoSpaceDN w:val="0"/>
        <w:adjustRightInd w:val="0"/>
        <w:spacing w:after="0" w:line="480" w:lineRule="auto"/>
        <w:ind w:firstLine="709"/>
        <w:jc w:val="both"/>
      </w:pPr>
      <w:r>
        <w:t xml:space="preserve">Em </w:t>
      </w:r>
      <w:r w:rsidR="00514307">
        <w:t>novembro</w:t>
      </w:r>
      <w:r>
        <w:t xml:space="preserve"> de 2019, submeteu-se à banca examinadora para defesa do trabalho de graduação</w:t>
      </w:r>
    </w:p>
    <w:p w:rsidR="00F37FC5" w:rsidRDefault="005751A3" w:rsidP="0034711D">
      <w:pPr>
        <w:spacing w:after="0" w:line="360" w:lineRule="auto"/>
        <w:jc w:val="both"/>
      </w:pPr>
      <w:r>
        <w:tab/>
      </w:r>
    </w:p>
    <w:p w:rsidR="00F37FC5" w:rsidRDefault="005751A3">
      <w:r>
        <w:br w:type="page"/>
      </w:r>
    </w:p>
    <w:p w:rsidR="000F1471" w:rsidRDefault="005751A3" w:rsidP="000F1471">
      <w:pPr>
        <w:suppressLineNumbers/>
        <w:autoSpaceDE w:val="0"/>
        <w:autoSpaceDN w:val="0"/>
        <w:adjustRightInd w:val="0"/>
        <w:spacing w:line="360" w:lineRule="auto"/>
        <w:jc w:val="center"/>
        <w:rPr>
          <w:sz w:val="28"/>
          <w:szCs w:val="28"/>
        </w:rPr>
      </w:pPr>
      <w:r>
        <w:rPr>
          <w:sz w:val="28"/>
          <w:szCs w:val="28"/>
        </w:rPr>
        <w:lastRenderedPageBreak/>
        <w:t>ÍNDIC</w:t>
      </w:r>
      <w:r w:rsidR="000F1471">
        <w:rPr>
          <w:sz w:val="28"/>
          <w:szCs w:val="28"/>
        </w:rPr>
        <w:t>E</w:t>
      </w:r>
    </w:p>
    <w:p w:rsidR="009141D6" w:rsidRPr="009141D6" w:rsidRDefault="009141D6" w:rsidP="009141D6">
      <w:pPr>
        <w:suppressLineNumbers/>
        <w:autoSpaceDE w:val="0"/>
        <w:autoSpaceDN w:val="0"/>
        <w:adjustRightInd w:val="0"/>
        <w:spacing w:line="360" w:lineRule="auto"/>
        <w:jc w:val="right"/>
      </w:pPr>
      <w:r w:rsidRPr="009141D6">
        <w:t>Páginas</w:t>
      </w:r>
    </w:p>
    <w:sdt>
      <w:sdtPr>
        <w:rPr>
          <w:rFonts w:ascii="Times New Roman" w:eastAsiaTheme="minorEastAsia" w:hAnsi="Times New Roman" w:cs="Times New Roman"/>
          <w:color w:val="auto"/>
          <w:sz w:val="24"/>
          <w:szCs w:val="24"/>
        </w:rPr>
        <w:id w:val="-558248488"/>
        <w:docPartObj>
          <w:docPartGallery w:val="Table of Contents"/>
          <w:docPartUnique/>
        </w:docPartObj>
      </w:sdtPr>
      <w:sdtContent>
        <w:p w:rsidR="000F1471" w:rsidRPr="000F1471" w:rsidRDefault="009141D6">
          <w:pPr>
            <w:pStyle w:val="CabealhodoSumrio"/>
            <w:rPr>
              <w:rFonts w:ascii="Times New Roman" w:hAnsi="Times New Roman" w:cs="Times New Roman"/>
              <w:sz w:val="24"/>
              <w:szCs w:val="24"/>
            </w:rPr>
          </w:pPr>
          <w:r>
            <w:rPr>
              <w:rFonts w:ascii="Times New Roman" w:hAnsi="Times New Roman" w:cs="Times New Roman"/>
              <w:sz w:val="24"/>
              <w:szCs w:val="24"/>
            </w:rPr>
            <w:tab/>
          </w:r>
        </w:p>
        <w:p w:rsidR="000F1471" w:rsidRPr="000F1471" w:rsidRDefault="000F1471" w:rsidP="000F1471">
          <w:pPr>
            <w:pStyle w:val="Sumrio1"/>
          </w:pPr>
          <w:r w:rsidRPr="000F1471">
            <w:t>LISTA DE TABELAS</w:t>
          </w:r>
          <w:r w:rsidRPr="000F1471">
            <w:ptab w:relativeTo="margin" w:alignment="right" w:leader="dot"/>
          </w:r>
          <w:r>
            <w:t>V</w:t>
          </w:r>
          <w:r w:rsidR="008B4D0A">
            <w:t>II</w:t>
          </w:r>
        </w:p>
        <w:p w:rsidR="000F1471" w:rsidRPr="000F1471" w:rsidRDefault="000F1471" w:rsidP="000F1471">
          <w:pPr>
            <w:pStyle w:val="Sumrio1"/>
          </w:pPr>
          <w:r w:rsidRPr="000F1471">
            <w:t>LISTA DE FIGURAS</w:t>
          </w:r>
          <w:r w:rsidRPr="000F1471">
            <w:ptab w:relativeTo="margin" w:alignment="right" w:leader="dot"/>
          </w:r>
          <w:r>
            <w:t>VI</w:t>
          </w:r>
          <w:r w:rsidR="008B4D0A">
            <w:t>II</w:t>
          </w:r>
        </w:p>
        <w:p w:rsidR="000F1471" w:rsidRPr="000F1471" w:rsidRDefault="000F1471" w:rsidP="000F1471">
          <w:pPr>
            <w:pStyle w:val="Sumrio2"/>
            <w:ind w:left="216"/>
            <w:rPr>
              <w:rFonts w:ascii="Times New Roman" w:hAnsi="Times New Roman"/>
              <w:sz w:val="24"/>
              <w:szCs w:val="24"/>
            </w:rPr>
          </w:pPr>
          <w:r w:rsidRPr="000F1471">
            <w:rPr>
              <w:rFonts w:ascii="Times New Roman" w:hAnsi="Times New Roman"/>
              <w:sz w:val="24"/>
              <w:szCs w:val="24"/>
            </w:rPr>
            <w:t>Resumo</w:t>
          </w:r>
          <w:r w:rsidRPr="000F1471">
            <w:rPr>
              <w:rFonts w:ascii="Times New Roman" w:hAnsi="Times New Roman"/>
              <w:sz w:val="24"/>
              <w:szCs w:val="24"/>
            </w:rPr>
            <w:ptab w:relativeTo="margin" w:alignment="right" w:leader="dot"/>
          </w:r>
          <w:r>
            <w:rPr>
              <w:rFonts w:ascii="Times New Roman" w:hAnsi="Times New Roman"/>
              <w:sz w:val="24"/>
              <w:szCs w:val="24"/>
            </w:rPr>
            <w:t>1</w:t>
          </w:r>
        </w:p>
        <w:p w:rsidR="000F1471" w:rsidRPr="000F1471" w:rsidRDefault="000F1471" w:rsidP="000F1471">
          <w:pPr>
            <w:pStyle w:val="Sumrio2"/>
            <w:ind w:left="216"/>
            <w:rPr>
              <w:rFonts w:ascii="Times New Roman" w:hAnsi="Times New Roman"/>
              <w:sz w:val="24"/>
              <w:szCs w:val="24"/>
            </w:rPr>
          </w:pPr>
          <w:r w:rsidRPr="000F1471">
            <w:rPr>
              <w:rFonts w:ascii="Times New Roman" w:hAnsi="Times New Roman"/>
              <w:sz w:val="24"/>
              <w:szCs w:val="24"/>
            </w:rPr>
            <w:t>Abstract</w:t>
          </w:r>
          <w:r w:rsidRPr="000F1471">
            <w:rPr>
              <w:rFonts w:ascii="Times New Roman" w:hAnsi="Times New Roman"/>
              <w:sz w:val="24"/>
              <w:szCs w:val="24"/>
            </w:rPr>
            <w:ptab w:relativeTo="margin" w:alignment="right" w:leader="dot"/>
          </w:r>
          <w:r>
            <w:rPr>
              <w:rFonts w:ascii="Times New Roman" w:hAnsi="Times New Roman"/>
              <w:sz w:val="24"/>
              <w:szCs w:val="24"/>
            </w:rPr>
            <w:t>2</w:t>
          </w:r>
        </w:p>
        <w:p w:rsidR="000F1471" w:rsidRPr="000F1471" w:rsidRDefault="000F1471" w:rsidP="000F1471">
          <w:pPr>
            <w:pStyle w:val="Sumrio2"/>
            <w:ind w:left="216"/>
            <w:rPr>
              <w:rFonts w:ascii="Times New Roman" w:hAnsi="Times New Roman"/>
              <w:sz w:val="24"/>
              <w:szCs w:val="24"/>
            </w:rPr>
          </w:pPr>
          <w:r w:rsidRPr="000F1471">
            <w:rPr>
              <w:rFonts w:ascii="Times New Roman" w:hAnsi="Times New Roman"/>
              <w:sz w:val="24"/>
              <w:szCs w:val="24"/>
            </w:rPr>
            <w:t>Introdução</w:t>
          </w:r>
          <w:r w:rsidRPr="000F1471">
            <w:rPr>
              <w:rFonts w:ascii="Times New Roman" w:hAnsi="Times New Roman"/>
              <w:sz w:val="24"/>
              <w:szCs w:val="24"/>
            </w:rPr>
            <w:ptab w:relativeTo="margin" w:alignment="right" w:leader="dot"/>
          </w:r>
          <w:r>
            <w:rPr>
              <w:rFonts w:ascii="Times New Roman" w:hAnsi="Times New Roman"/>
              <w:sz w:val="24"/>
              <w:szCs w:val="24"/>
            </w:rPr>
            <w:t>3</w:t>
          </w:r>
        </w:p>
        <w:p w:rsidR="000F1471" w:rsidRPr="000F1471" w:rsidRDefault="000F1471" w:rsidP="008B4D0A">
          <w:pPr>
            <w:pStyle w:val="Sumrio2"/>
            <w:ind w:left="216"/>
            <w:rPr>
              <w:rFonts w:ascii="Times New Roman" w:hAnsi="Times New Roman"/>
              <w:sz w:val="24"/>
              <w:szCs w:val="24"/>
            </w:rPr>
          </w:pPr>
          <w:r w:rsidRPr="000F1471">
            <w:rPr>
              <w:rFonts w:ascii="Times New Roman" w:hAnsi="Times New Roman"/>
              <w:sz w:val="24"/>
              <w:szCs w:val="24"/>
            </w:rPr>
            <w:t>Materia</w:t>
          </w:r>
          <w:r w:rsidR="0034711D">
            <w:rPr>
              <w:rFonts w:ascii="Times New Roman" w:hAnsi="Times New Roman"/>
              <w:sz w:val="24"/>
              <w:szCs w:val="24"/>
            </w:rPr>
            <w:t>l</w:t>
          </w:r>
          <w:r w:rsidRPr="000F1471">
            <w:rPr>
              <w:rFonts w:ascii="Times New Roman" w:hAnsi="Times New Roman"/>
              <w:sz w:val="24"/>
              <w:szCs w:val="24"/>
            </w:rPr>
            <w:t xml:space="preserve"> e Métodos</w:t>
          </w:r>
          <w:r w:rsidRPr="000F1471">
            <w:rPr>
              <w:rFonts w:ascii="Times New Roman" w:hAnsi="Times New Roman"/>
              <w:sz w:val="24"/>
              <w:szCs w:val="24"/>
            </w:rPr>
            <w:ptab w:relativeTo="margin" w:alignment="right" w:leader="dot"/>
          </w:r>
          <w:r w:rsidR="008B4D0A">
            <w:rPr>
              <w:rFonts w:ascii="Times New Roman" w:hAnsi="Times New Roman"/>
              <w:sz w:val="24"/>
              <w:szCs w:val="24"/>
            </w:rPr>
            <w:t>4</w:t>
          </w:r>
        </w:p>
        <w:p w:rsidR="000F1471" w:rsidRPr="000F1471" w:rsidRDefault="000F1471" w:rsidP="008B4D0A">
          <w:pPr>
            <w:pStyle w:val="Sumrio2"/>
            <w:ind w:left="216"/>
            <w:rPr>
              <w:rFonts w:ascii="Times New Roman" w:hAnsi="Times New Roman"/>
              <w:sz w:val="24"/>
              <w:szCs w:val="24"/>
            </w:rPr>
          </w:pPr>
          <w:r w:rsidRPr="000F1471">
            <w:rPr>
              <w:rFonts w:ascii="Times New Roman" w:hAnsi="Times New Roman"/>
              <w:sz w:val="24"/>
              <w:szCs w:val="24"/>
            </w:rPr>
            <w:t>Resultados e Discussão</w:t>
          </w:r>
          <w:r w:rsidRPr="000F1471">
            <w:rPr>
              <w:rFonts w:ascii="Times New Roman" w:hAnsi="Times New Roman"/>
              <w:sz w:val="24"/>
              <w:szCs w:val="24"/>
            </w:rPr>
            <w:ptab w:relativeTo="margin" w:alignment="right" w:leader="dot"/>
          </w:r>
          <w:r w:rsidR="008B4D0A">
            <w:rPr>
              <w:rFonts w:ascii="Times New Roman" w:hAnsi="Times New Roman"/>
              <w:sz w:val="24"/>
              <w:szCs w:val="24"/>
            </w:rPr>
            <w:t>7</w:t>
          </w:r>
        </w:p>
        <w:p w:rsidR="000F1471" w:rsidRPr="000F1471" w:rsidRDefault="000F1471" w:rsidP="008B4D0A">
          <w:pPr>
            <w:pStyle w:val="Sumrio2"/>
            <w:ind w:left="216"/>
            <w:rPr>
              <w:rFonts w:ascii="Times New Roman" w:hAnsi="Times New Roman"/>
              <w:sz w:val="24"/>
              <w:szCs w:val="24"/>
            </w:rPr>
          </w:pPr>
          <w:r w:rsidRPr="000F1471">
            <w:rPr>
              <w:rFonts w:ascii="Times New Roman" w:hAnsi="Times New Roman"/>
              <w:sz w:val="24"/>
              <w:szCs w:val="24"/>
            </w:rPr>
            <w:t>Conclusão</w:t>
          </w:r>
          <w:r w:rsidRPr="000F1471">
            <w:rPr>
              <w:rFonts w:ascii="Times New Roman" w:hAnsi="Times New Roman"/>
              <w:sz w:val="24"/>
              <w:szCs w:val="24"/>
            </w:rPr>
            <w:ptab w:relativeTo="margin" w:alignment="right" w:leader="dot"/>
          </w:r>
          <w:r w:rsidR="009141D6">
            <w:rPr>
              <w:rFonts w:ascii="Times New Roman" w:hAnsi="Times New Roman"/>
              <w:sz w:val="24"/>
              <w:szCs w:val="24"/>
            </w:rPr>
            <w:t>1</w:t>
          </w:r>
          <w:r w:rsidR="008B4D0A">
            <w:rPr>
              <w:rFonts w:ascii="Times New Roman" w:hAnsi="Times New Roman"/>
              <w:sz w:val="24"/>
              <w:szCs w:val="24"/>
            </w:rPr>
            <w:t>5</w:t>
          </w:r>
        </w:p>
        <w:p w:rsidR="000F1471" w:rsidRPr="000F1471" w:rsidRDefault="000F1471" w:rsidP="000F1471">
          <w:pPr>
            <w:pStyle w:val="Sumrio2"/>
            <w:ind w:left="216"/>
            <w:rPr>
              <w:rFonts w:ascii="Times New Roman" w:hAnsi="Times New Roman"/>
              <w:sz w:val="24"/>
              <w:szCs w:val="24"/>
            </w:rPr>
          </w:pPr>
          <w:r w:rsidRPr="000F1471">
            <w:rPr>
              <w:rFonts w:ascii="Times New Roman" w:hAnsi="Times New Roman"/>
              <w:sz w:val="24"/>
              <w:szCs w:val="24"/>
            </w:rPr>
            <w:t>Referências</w:t>
          </w:r>
          <w:r w:rsidRPr="000F1471">
            <w:rPr>
              <w:rFonts w:ascii="Times New Roman" w:hAnsi="Times New Roman"/>
              <w:sz w:val="24"/>
              <w:szCs w:val="24"/>
            </w:rPr>
            <w:ptab w:relativeTo="margin" w:alignment="right" w:leader="dot"/>
          </w:r>
          <w:r w:rsidR="009141D6">
            <w:rPr>
              <w:rFonts w:ascii="Times New Roman" w:hAnsi="Times New Roman"/>
              <w:sz w:val="24"/>
              <w:szCs w:val="24"/>
            </w:rPr>
            <w:t>1</w:t>
          </w:r>
          <w:r w:rsidR="008B4D0A">
            <w:rPr>
              <w:rFonts w:ascii="Times New Roman" w:hAnsi="Times New Roman"/>
              <w:sz w:val="24"/>
              <w:szCs w:val="24"/>
            </w:rPr>
            <w:t>6</w:t>
          </w:r>
        </w:p>
        <w:p w:rsidR="000F1471" w:rsidRPr="000F1471" w:rsidRDefault="000F1471" w:rsidP="008B4D0A">
          <w:pPr>
            <w:pStyle w:val="Sumrio2"/>
            <w:ind w:left="0" w:firstLine="216"/>
            <w:rPr>
              <w:rFonts w:ascii="Times New Roman" w:hAnsi="Times New Roman"/>
              <w:sz w:val="24"/>
              <w:szCs w:val="24"/>
            </w:rPr>
          </w:pPr>
          <w:r w:rsidRPr="000F1471">
            <w:rPr>
              <w:rFonts w:ascii="Times New Roman" w:hAnsi="Times New Roman"/>
              <w:sz w:val="24"/>
              <w:szCs w:val="24"/>
            </w:rPr>
            <w:t>Normas da Revista</w:t>
          </w:r>
          <w:r w:rsidRPr="000F1471">
            <w:rPr>
              <w:rFonts w:ascii="Times New Roman" w:hAnsi="Times New Roman"/>
              <w:sz w:val="24"/>
              <w:szCs w:val="24"/>
            </w:rPr>
            <w:ptab w:relativeTo="margin" w:alignment="right" w:leader="dot"/>
          </w:r>
          <w:r w:rsidR="008B4D0A">
            <w:rPr>
              <w:rFonts w:ascii="Times New Roman" w:hAnsi="Times New Roman"/>
              <w:sz w:val="24"/>
              <w:szCs w:val="24"/>
            </w:rPr>
            <w:t>19</w:t>
          </w:r>
        </w:p>
        <w:p w:rsidR="00F37FC5" w:rsidRDefault="00915C7C" w:rsidP="009141D6">
          <w:pPr>
            <w:rPr>
              <w:lang w:eastAsia="en-US"/>
            </w:rPr>
          </w:pPr>
        </w:p>
      </w:sdtContent>
    </w:sdt>
    <w:p w:rsidR="009141D6" w:rsidRDefault="009141D6">
      <w:pPr>
        <w:rPr>
          <w:bCs/>
          <w:kern w:val="28"/>
          <w:sz w:val="28"/>
          <w:szCs w:val="28"/>
        </w:rPr>
      </w:pPr>
      <w:bookmarkStart w:id="0" w:name="_Toc338607523"/>
      <w:bookmarkStart w:id="1" w:name="_Toc338607838"/>
      <w:bookmarkStart w:id="2" w:name="_Toc338606670"/>
      <w:bookmarkStart w:id="3" w:name="_Toc339289831"/>
      <w:r>
        <w:rPr>
          <w:sz w:val="28"/>
          <w:szCs w:val="28"/>
        </w:rPr>
        <w:br w:type="page"/>
      </w:r>
    </w:p>
    <w:p w:rsidR="009141D6" w:rsidRPr="00944482" w:rsidRDefault="005751A3" w:rsidP="009141D6">
      <w:pPr>
        <w:pStyle w:val="Ttulo"/>
        <w:suppressLineNumbers/>
        <w:spacing w:before="0"/>
        <w:jc w:val="center"/>
        <w:rPr>
          <w:szCs w:val="24"/>
        </w:rPr>
      </w:pPr>
      <w:r>
        <w:rPr>
          <w:sz w:val="28"/>
          <w:szCs w:val="28"/>
        </w:rPr>
        <w:lastRenderedPageBreak/>
        <w:t>LISTA DE TABELAS</w:t>
      </w:r>
      <w:bookmarkStart w:id="4" w:name="_Toc338607839"/>
      <w:bookmarkStart w:id="5" w:name="_Toc338608010"/>
      <w:bookmarkEnd w:id="0"/>
      <w:bookmarkEnd w:id="1"/>
      <w:bookmarkEnd w:id="2"/>
      <w:bookmarkEnd w:id="3"/>
    </w:p>
    <w:p w:rsidR="00C30935" w:rsidRDefault="00C30935" w:rsidP="00944482">
      <w:pPr>
        <w:pStyle w:val="Sumrio2"/>
        <w:ind w:left="0"/>
        <w:jc w:val="both"/>
        <w:rPr>
          <w:rFonts w:ascii="Times New Roman" w:hAnsi="Times New Roman"/>
          <w:b/>
          <w:bCs/>
          <w:sz w:val="24"/>
          <w:szCs w:val="24"/>
        </w:rPr>
      </w:pPr>
    </w:p>
    <w:p w:rsidR="00944482" w:rsidRPr="00944482" w:rsidRDefault="00944482" w:rsidP="00C30935">
      <w:pPr>
        <w:pStyle w:val="Sumrio2"/>
        <w:spacing w:line="360" w:lineRule="auto"/>
        <w:ind w:left="0"/>
        <w:jc w:val="both"/>
        <w:rPr>
          <w:rFonts w:ascii="Times New Roman" w:hAnsi="Times New Roman"/>
          <w:sz w:val="24"/>
          <w:szCs w:val="24"/>
        </w:rPr>
      </w:pPr>
      <w:r w:rsidRPr="00944482">
        <w:rPr>
          <w:rFonts w:ascii="Times New Roman" w:hAnsi="Times New Roman"/>
          <w:b/>
          <w:bCs/>
          <w:sz w:val="24"/>
          <w:szCs w:val="24"/>
        </w:rPr>
        <w:t xml:space="preserve">Tabela 1. </w:t>
      </w:r>
      <w:r w:rsidRPr="00944482">
        <w:rPr>
          <w:rFonts w:ascii="Times New Roman" w:hAnsi="Times New Roman"/>
          <w:color w:val="0D0D0D"/>
          <w:sz w:val="24"/>
          <w:szCs w:val="24"/>
        </w:rPr>
        <w:t>Variáveis de estado oxidativo no plasma de fêmeas suínas em fase inicial, com artrite induzida por adjuvante na fase de lactação</w:t>
      </w:r>
      <w:r w:rsidRPr="00944482">
        <w:rPr>
          <w:rFonts w:ascii="Times New Roman" w:hAnsi="Times New Roman"/>
          <w:sz w:val="24"/>
          <w:szCs w:val="24"/>
        </w:rPr>
        <w:ptab w:relativeTo="margin" w:alignment="right" w:leader="dot"/>
      </w:r>
      <w:r w:rsidR="00677B8A">
        <w:rPr>
          <w:rFonts w:ascii="Times New Roman" w:hAnsi="Times New Roman"/>
          <w:sz w:val="24"/>
          <w:szCs w:val="24"/>
        </w:rPr>
        <w:t>08</w:t>
      </w:r>
    </w:p>
    <w:p w:rsidR="00944482" w:rsidRPr="00944482" w:rsidRDefault="00944482" w:rsidP="00C30935">
      <w:pPr>
        <w:pStyle w:val="Sumrio2"/>
        <w:spacing w:line="360" w:lineRule="auto"/>
        <w:ind w:left="0"/>
        <w:jc w:val="both"/>
        <w:rPr>
          <w:rFonts w:ascii="Times New Roman" w:hAnsi="Times New Roman"/>
          <w:sz w:val="24"/>
          <w:szCs w:val="24"/>
        </w:rPr>
      </w:pPr>
      <w:r w:rsidRPr="00944482">
        <w:rPr>
          <w:rFonts w:ascii="Times New Roman" w:hAnsi="Times New Roman"/>
          <w:b/>
          <w:bCs/>
          <w:sz w:val="24"/>
          <w:szCs w:val="24"/>
        </w:rPr>
        <w:t>Tabela 2.</w:t>
      </w:r>
      <w:r w:rsidR="0034711D">
        <w:rPr>
          <w:rFonts w:ascii="Times New Roman" w:hAnsi="Times New Roman"/>
          <w:b/>
          <w:bCs/>
          <w:sz w:val="24"/>
          <w:szCs w:val="24"/>
        </w:rPr>
        <w:t xml:space="preserve"> </w:t>
      </w:r>
      <w:r w:rsidRPr="00944482">
        <w:rPr>
          <w:rFonts w:ascii="Times New Roman" w:hAnsi="Times New Roman"/>
          <w:color w:val="0D0D0D"/>
          <w:sz w:val="24"/>
          <w:szCs w:val="24"/>
        </w:rPr>
        <w:t>Variáveis de estado oxidativo no fígado de fêmeas suínas em fase inicial, com artrite induzida por adjuvante na fase de lactação</w:t>
      </w:r>
      <w:r w:rsidRPr="00944482">
        <w:rPr>
          <w:rFonts w:ascii="Times New Roman" w:hAnsi="Times New Roman"/>
          <w:sz w:val="24"/>
          <w:szCs w:val="24"/>
        </w:rPr>
        <w:ptab w:relativeTo="margin" w:alignment="right" w:leader="dot"/>
      </w:r>
      <w:r w:rsidR="00677B8A">
        <w:rPr>
          <w:rFonts w:ascii="Times New Roman" w:hAnsi="Times New Roman"/>
          <w:sz w:val="24"/>
          <w:szCs w:val="24"/>
        </w:rPr>
        <w:t>10</w:t>
      </w:r>
    </w:p>
    <w:p w:rsidR="00F37FC5" w:rsidRPr="00944482" w:rsidRDefault="00944482" w:rsidP="00C30935">
      <w:pPr>
        <w:pStyle w:val="Sumrio2"/>
        <w:spacing w:line="360" w:lineRule="auto"/>
        <w:ind w:left="0"/>
        <w:jc w:val="both"/>
        <w:rPr>
          <w:rFonts w:ascii="Times New Roman" w:hAnsi="Times New Roman"/>
          <w:sz w:val="24"/>
          <w:szCs w:val="24"/>
        </w:rPr>
      </w:pPr>
      <w:r w:rsidRPr="00944482">
        <w:rPr>
          <w:rFonts w:ascii="Times New Roman" w:hAnsi="Times New Roman"/>
          <w:b/>
          <w:bCs/>
          <w:sz w:val="24"/>
          <w:szCs w:val="24"/>
        </w:rPr>
        <w:t>Tabela 3.</w:t>
      </w:r>
      <w:r w:rsidR="0034711D">
        <w:rPr>
          <w:rFonts w:ascii="Times New Roman" w:hAnsi="Times New Roman"/>
          <w:b/>
          <w:bCs/>
          <w:sz w:val="24"/>
          <w:szCs w:val="24"/>
        </w:rPr>
        <w:t xml:space="preserve"> </w:t>
      </w:r>
      <w:r w:rsidRPr="00944482">
        <w:rPr>
          <w:rFonts w:ascii="Times New Roman" w:hAnsi="Times New Roman"/>
          <w:color w:val="0D0D0D"/>
          <w:sz w:val="24"/>
          <w:szCs w:val="24"/>
        </w:rPr>
        <w:t>Perfil de proteínas de fase aguda em leitões desmamados com artrite induzida por adjuvante na fase de lactação</w:t>
      </w:r>
      <w:r w:rsidRPr="00944482">
        <w:rPr>
          <w:rFonts w:ascii="Times New Roman" w:hAnsi="Times New Roman"/>
          <w:sz w:val="24"/>
          <w:szCs w:val="24"/>
        </w:rPr>
        <w:ptab w:relativeTo="margin" w:alignment="right" w:leader="dot"/>
      </w:r>
      <w:r w:rsidRPr="00944482">
        <w:rPr>
          <w:rFonts w:ascii="Times New Roman" w:hAnsi="Times New Roman"/>
          <w:sz w:val="24"/>
          <w:szCs w:val="24"/>
        </w:rPr>
        <w:t>1</w:t>
      </w:r>
      <w:r w:rsidR="00677B8A">
        <w:rPr>
          <w:rFonts w:ascii="Times New Roman" w:hAnsi="Times New Roman"/>
          <w:sz w:val="24"/>
          <w:szCs w:val="24"/>
        </w:rPr>
        <w:t>2</w:t>
      </w:r>
      <w:r w:rsidR="005751A3">
        <w:br w:type="page"/>
      </w:r>
    </w:p>
    <w:p w:rsidR="00F37FC5" w:rsidRDefault="005751A3">
      <w:pPr>
        <w:pStyle w:val="Ttulo"/>
        <w:suppressLineNumbers/>
        <w:spacing w:before="0"/>
        <w:jc w:val="center"/>
        <w:rPr>
          <w:rStyle w:val="Forte"/>
          <w:sz w:val="28"/>
          <w:szCs w:val="28"/>
        </w:rPr>
      </w:pPr>
      <w:r>
        <w:rPr>
          <w:sz w:val="28"/>
          <w:szCs w:val="28"/>
        </w:rPr>
        <w:lastRenderedPageBreak/>
        <w:t>LISTA DE FIGURAS</w:t>
      </w:r>
    </w:p>
    <w:p w:rsidR="00C30935" w:rsidRDefault="00C30935" w:rsidP="00944482">
      <w:pPr>
        <w:pStyle w:val="Sumrio2"/>
        <w:ind w:left="0"/>
        <w:jc w:val="both"/>
        <w:rPr>
          <w:rFonts w:ascii="Times New Roman" w:hAnsi="Times New Roman"/>
          <w:b/>
          <w:bCs/>
          <w:sz w:val="24"/>
          <w:szCs w:val="24"/>
        </w:rPr>
      </w:pPr>
    </w:p>
    <w:p w:rsidR="00C30935" w:rsidRPr="00944482" w:rsidRDefault="00C30935" w:rsidP="00C30935">
      <w:pPr>
        <w:spacing w:line="360" w:lineRule="auto"/>
        <w:jc w:val="both"/>
      </w:pPr>
      <w:r w:rsidRPr="00944482">
        <w:rPr>
          <w:b/>
          <w:bCs/>
        </w:rPr>
        <w:t xml:space="preserve">Figura </w:t>
      </w:r>
      <w:r>
        <w:rPr>
          <w:b/>
          <w:bCs/>
        </w:rPr>
        <w:t>1</w:t>
      </w:r>
      <w:r w:rsidRPr="00944482">
        <w:rPr>
          <w:b/>
          <w:bCs/>
        </w:rPr>
        <w:t>.</w:t>
      </w:r>
      <w:r>
        <w:rPr>
          <w:b/>
          <w:bCs/>
        </w:rPr>
        <w:t xml:space="preserve"> </w:t>
      </w:r>
      <w:r w:rsidRPr="00944482">
        <w:rPr>
          <w:color w:val="0D0D0D"/>
        </w:rPr>
        <w:t>Esquematização simplificada da ação do sistema antioxidante enzimático</w:t>
      </w:r>
      <w:r w:rsidRPr="00944482">
        <w:ptab w:relativeTo="margin" w:alignment="right" w:leader="dot"/>
      </w:r>
      <w:r w:rsidR="008B4D0A">
        <w:t>0</w:t>
      </w:r>
      <w:r w:rsidRPr="00944482">
        <w:t>4</w:t>
      </w:r>
    </w:p>
    <w:p w:rsidR="00944482" w:rsidRPr="00944482" w:rsidRDefault="00944482" w:rsidP="008B4D0A">
      <w:pPr>
        <w:pStyle w:val="Sumrio2"/>
        <w:spacing w:line="360" w:lineRule="auto"/>
        <w:ind w:left="0"/>
        <w:jc w:val="both"/>
        <w:rPr>
          <w:rFonts w:ascii="Times New Roman" w:hAnsi="Times New Roman"/>
          <w:sz w:val="24"/>
          <w:szCs w:val="24"/>
        </w:rPr>
      </w:pPr>
      <w:r w:rsidRPr="00944482">
        <w:rPr>
          <w:rFonts w:ascii="Times New Roman" w:hAnsi="Times New Roman"/>
          <w:b/>
          <w:bCs/>
          <w:sz w:val="24"/>
          <w:szCs w:val="24"/>
        </w:rPr>
        <w:t xml:space="preserve">Figura </w:t>
      </w:r>
      <w:r w:rsidR="00C30935">
        <w:rPr>
          <w:rFonts w:ascii="Times New Roman" w:hAnsi="Times New Roman"/>
          <w:b/>
          <w:bCs/>
          <w:sz w:val="24"/>
          <w:szCs w:val="24"/>
        </w:rPr>
        <w:t>2</w:t>
      </w:r>
      <w:r w:rsidRPr="00944482">
        <w:rPr>
          <w:rFonts w:ascii="Times New Roman" w:hAnsi="Times New Roman"/>
          <w:b/>
          <w:bCs/>
          <w:sz w:val="24"/>
          <w:szCs w:val="24"/>
        </w:rPr>
        <w:t xml:space="preserve">. </w:t>
      </w:r>
      <w:r w:rsidRPr="00944482">
        <w:rPr>
          <w:rFonts w:ascii="Times New Roman" w:hAnsi="Times New Roman"/>
          <w:color w:val="000000"/>
          <w:sz w:val="24"/>
          <w:szCs w:val="24"/>
        </w:rPr>
        <w:t xml:space="preserve">GSH, </w:t>
      </w:r>
      <w:r w:rsidRPr="00944482">
        <w:rPr>
          <w:rFonts w:ascii="Times New Roman" w:hAnsi="Times New Roman"/>
          <w:i/>
          <w:sz w:val="24"/>
          <w:szCs w:val="24"/>
        </w:rPr>
        <w:t>nmol.mg</w:t>
      </w:r>
      <w:r w:rsidRPr="00944482">
        <w:rPr>
          <w:rFonts w:ascii="Times New Roman" w:hAnsi="Times New Roman"/>
          <w:i/>
          <w:sz w:val="24"/>
          <w:szCs w:val="24"/>
          <w:vertAlign w:val="superscript"/>
        </w:rPr>
        <w:t xml:space="preserve">-1 </w:t>
      </w:r>
      <w:r w:rsidRPr="00944482">
        <w:rPr>
          <w:rFonts w:ascii="Times New Roman" w:hAnsi="Times New Roman"/>
          <w:sz w:val="24"/>
          <w:szCs w:val="24"/>
        </w:rPr>
        <w:t xml:space="preserve">(A); TAC, </w:t>
      </w:r>
      <w:r w:rsidRPr="00944482">
        <w:rPr>
          <w:rFonts w:ascii="Times New Roman" w:hAnsi="Times New Roman"/>
          <w:i/>
          <w:sz w:val="24"/>
          <w:szCs w:val="24"/>
        </w:rPr>
        <w:t>mmol equivalente TROLOX.mg proteína</w:t>
      </w:r>
      <w:r w:rsidRPr="00944482">
        <w:rPr>
          <w:rFonts w:ascii="Times New Roman" w:hAnsi="Times New Roman"/>
          <w:i/>
          <w:sz w:val="24"/>
          <w:szCs w:val="24"/>
          <w:vertAlign w:val="superscript"/>
        </w:rPr>
        <w:t>-1</w:t>
      </w:r>
      <w:r w:rsidRPr="00944482">
        <w:rPr>
          <w:rFonts w:ascii="Times New Roman" w:hAnsi="Times New Roman"/>
          <w:sz w:val="24"/>
          <w:szCs w:val="24"/>
        </w:rPr>
        <w:t xml:space="preserve"> (B); Tióis, </w:t>
      </w:r>
      <w:r w:rsidRPr="00944482">
        <w:rPr>
          <w:rFonts w:ascii="Times New Roman" w:hAnsi="Times New Roman"/>
          <w:i/>
          <w:sz w:val="24"/>
          <w:szCs w:val="24"/>
        </w:rPr>
        <w:t>nmol.mg proteína</w:t>
      </w:r>
      <w:r w:rsidRPr="00944482">
        <w:rPr>
          <w:rFonts w:ascii="Times New Roman" w:hAnsi="Times New Roman"/>
          <w:i/>
          <w:sz w:val="24"/>
          <w:szCs w:val="24"/>
          <w:vertAlign w:val="superscript"/>
        </w:rPr>
        <w:t>-1</w:t>
      </w:r>
      <w:r w:rsidRPr="00944482">
        <w:rPr>
          <w:rFonts w:ascii="Times New Roman" w:hAnsi="Times New Roman"/>
          <w:sz w:val="24"/>
          <w:szCs w:val="24"/>
        </w:rPr>
        <w:t xml:space="preserve"> (C); Proteínas carboniladas, </w:t>
      </w:r>
      <w:r w:rsidRPr="00944482">
        <w:rPr>
          <w:rFonts w:ascii="Times New Roman" w:hAnsi="Times New Roman"/>
          <w:i/>
          <w:sz w:val="24"/>
          <w:szCs w:val="24"/>
        </w:rPr>
        <w:t>nmol.mg proteína</w:t>
      </w:r>
      <w:r w:rsidRPr="00944482">
        <w:rPr>
          <w:rFonts w:ascii="Times New Roman" w:hAnsi="Times New Roman"/>
          <w:i/>
          <w:sz w:val="24"/>
          <w:szCs w:val="24"/>
          <w:vertAlign w:val="superscript"/>
        </w:rPr>
        <w:t>-1</w:t>
      </w:r>
      <w:r w:rsidRPr="00944482">
        <w:rPr>
          <w:rFonts w:ascii="Times New Roman" w:hAnsi="Times New Roman"/>
          <w:sz w:val="24"/>
          <w:szCs w:val="24"/>
        </w:rPr>
        <w:t xml:space="preserve"> (D) no plasma d</w:t>
      </w:r>
      <w:r w:rsidRPr="00944482">
        <w:rPr>
          <w:rFonts w:ascii="Times New Roman" w:hAnsi="Times New Roman"/>
          <w:color w:val="0D0D0D"/>
          <w:sz w:val="24"/>
          <w:szCs w:val="24"/>
        </w:rPr>
        <w:t>e fêmeas suínas em fase inicial, com artrite induzida por adjuvante na fase de lactação.</w:t>
      </w:r>
      <w:r w:rsidRPr="00944482">
        <w:rPr>
          <w:rFonts w:ascii="Times New Roman" w:hAnsi="Times New Roman"/>
          <w:sz w:val="24"/>
          <w:szCs w:val="24"/>
        </w:rPr>
        <w:ptab w:relativeTo="margin" w:alignment="right" w:leader="dot"/>
      </w:r>
      <w:r w:rsidR="008B4D0A">
        <w:rPr>
          <w:rFonts w:ascii="Times New Roman" w:hAnsi="Times New Roman"/>
          <w:sz w:val="24"/>
          <w:szCs w:val="24"/>
        </w:rPr>
        <w:t>09</w:t>
      </w:r>
    </w:p>
    <w:p w:rsidR="00944482" w:rsidRPr="00944482" w:rsidRDefault="00944482" w:rsidP="008B4D0A">
      <w:pPr>
        <w:pStyle w:val="Sumrio2"/>
        <w:spacing w:line="360" w:lineRule="auto"/>
        <w:ind w:left="0"/>
        <w:jc w:val="both"/>
        <w:rPr>
          <w:rFonts w:ascii="Times New Roman" w:hAnsi="Times New Roman"/>
          <w:sz w:val="24"/>
          <w:szCs w:val="24"/>
        </w:rPr>
      </w:pPr>
      <w:r w:rsidRPr="00944482">
        <w:rPr>
          <w:rFonts w:ascii="Times New Roman" w:hAnsi="Times New Roman"/>
          <w:b/>
          <w:bCs/>
          <w:sz w:val="24"/>
          <w:szCs w:val="24"/>
        </w:rPr>
        <w:t xml:space="preserve">Figura </w:t>
      </w:r>
      <w:r w:rsidR="00C30935">
        <w:rPr>
          <w:rFonts w:ascii="Times New Roman" w:hAnsi="Times New Roman"/>
          <w:b/>
          <w:bCs/>
          <w:sz w:val="24"/>
          <w:szCs w:val="24"/>
        </w:rPr>
        <w:t>3</w:t>
      </w:r>
      <w:r w:rsidRPr="00944482">
        <w:rPr>
          <w:rFonts w:ascii="Times New Roman" w:hAnsi="Times New Roman"/>
          <w:b/>
          <w:bCs/>
          <w:sz w:val="24"/>
          <w:szCs w:val="24"/>
        </w:rPr>
        <w:t>.</w:t>
      </w:r>
      <w:r w:rsidR="0034711D">
        <w:rPr>
          <w:rFonts w:ascii="Times New Roman" w:hAnsi="Times New Roman"/>
          <w:b/>
          <w:bCs/>
          <w:sz w:val="24"/>
          <w:szCs w:val="24"/>
        </w:rPr>
        <w:t xml:space="preserve"> </w:t>
      </w:r>
      <w:r w:rsidRPr="00944482">
        <w:rPr>
          <w:rFonts w:ascii="Times New Roman" w:hAnsi="Times New Roman"/>
          <w:color w:val="000000"/>
          <w:sz w:val="24"/>
          <w:szCs w:val="24"/>
        </w:rPr>
        <w:t>Catalase,</w:t>
      </w:r>
      <w:r w:rsidR="008B4D0A">
        <w:rPr>
          <w:rFonts w:ascii="Times New Roman" w:hAnsi="Times New Roman"/>
          <w:color w:val="000000"/>
          <w:sz w:val="24"/>
          <w:szCs w:val="24"/>
        </w:rPr>
        <w:t xml:space="preserve"> </w:t>
      </w:r>
      <w:r w:rsidRPr="00944482">
        <w:rPr>
          <w:rFonts w:ascii="Times New Roman" w:hAnsi="Times New Roman"/>
          <w:i/>
          <w:sz w:val="24"/>
          <w:szCs w:val="24"/>
        </w:rPr>
        <w:t>µmol.min</w:t>
      </w:r>
      <w:r w:rsidRPr="00944482">
        <w:rPr>
          <w:rFonts w:ascii="Times New Roman" w:hAnsi="Times New Roman"/>
          <w:i/>
          <w:sz w:val="24"/>
          <w:szCs w:val="24"/>
          <w:vertAlign w:val="superscript"/>
        </w:rPr>
        <w:t>-1</w:t>
      </w:r>
      <w:r w:rsidRPr="00944482">
        <w:rPr>
          <w:rFonts w:ascii="Times New Roman" w:hAnsi="Times New Roman"/>
          <w:i/>
          <w:sz w:val="24"/>
          <w:szCs w:val="24"/>
        </w:rPr>
        <w:t>.mg</w:t>
      </w:r>
      <w:r w:rsidRPr="00944482">
        <w:rPr>
          <w:rFonts w:ascii="Times New Roman" w:hAnsi="Times New Roman"/>
          <w:i/>
          <w:sz w:val="24"/>
          <w:szCs w:val="24"/>
          <w:vertAlign w:val="superscript"/>
        </w:rPr>
        <w:t>-1</w:t>
      </w:r>
      <w:r w:rsidRPr="00944482">
        <w:rPr>
          <w:rFonts w:ascii="Times New Roman" w:hAnsi="Times New Roman"/>
          <w:sz w:val="24"/>
          <w:szCs w:val="24"/>
        </w:rPr>
        <w:t xml:space="preserve"> (A); Superóxido dismutase, </w:t>
      </w:r>
      <w:r w:rsidRPr="00944482">
        <w:rPr>
          <w:rFonts w:ascii="Times New Roman" w:hAnsi="Times New Roman"/>
          <w:i/>
          <w:sz w:val="24"/>
          <w:szCs w:val="24"/>
        </w:rPr>
        <w:t>U.mg</w:t>
      </w:r>
      <w:r w:rsidRPr="00944482">
        <w:rPr>
          <w:rFonts w:ascii="Times New Roman" w:hAnsi="Times New Roman"/>
          <w:i/>
          <w:sz w:val="24"/>
          <w:szCs w:val="24"/>
          <w:vertAlign w:val="superscript"/>
        </w:rPr>
        <w:t>-1</w:t>
      </w:r>
      <w:r w:rsidRPr="00944482">
        <w:rPr>
          <w:rFonts w:ascii="Times New Roman" w:hAnsi="Times New Roman"/>
          <w:sz w:val="24"/>
          <w:szCs w:val="24"/>
        </w:rPr>
        <w:t xml:space="preserve"> (B) e Proteínas carboniladas, </w:t>
      </w:r>
      <w:r w:rsidRPr="00944482">
        <w:rPr>
          <w:rFonts w:ascii="Times New Roman" w:hAnsi="Times New Roman"/>
          <w:i/>
          <w:sz w:val="24"/>
          <w:szCs w:val="24"/>
        </w:rPr>
        <w:t>nmol.mg proteína</w:t>
      </w:r>
      <w:r w:rsidRPr="00944482">
        <w:rPr>
          <w:rFonts w:ascii="Times New Roman" w:hAnsi="Times New Roman"/>
          <w:i/>
          <w:sz w:val="24"/>
          <w:szCs w:val="24"/>
          <w:vertAlign w:val="superscript"/>
        </w:rPr>
        <w:t>-1</w:t>
      </w:r>
      <w:r w:rsidRPr="00944482">
        <w:rPr>
          <w:rFonts w:ascii="Times New Roman" w:hAnsi="Times New Roman"/>
          <w:sz w:val="24"/>
          <w:szCs w:val="24"/>
        </w:rPr>
        <w:t xml:space="preserve"> (C) no fígado d</w:t>
      </w:r>
      <w:r w:rsidRPr="00944482">
        <w:rPr>
          <w:rFonts w:ascii="Times New Roman" w:hAnsi="Times New Roman"/>
          <w:color w:val="0D0D0D"/>
          <w:sz w:val="24"/>
          <w:szCs w:val="24"/>
        </w:rPr>
        <w:t>e fêmeas suínas em fase inicial, com artrite induzida por adjuvante na fase de lactação</w:t>
      </w:r>
      <w:r w:rsidRPr="00944482">
        <w:rPr>
          <w:rFonts w:ascii="Times New Roman" w:hAnsi="Times New Roman"/>
          <w:sz w:val="24"/>
          <w:szCs w:val="24"/>
        </w:rPr>
        <w:ptab w:relativeTo="margin" w:alignment="right" w:leader="dot"/>
      </w:r>
      <w:r w:rsidRPr="00944482">
        <w:rPr>
          <w:rFonts w:ascii="Times New Roman" w:hAnsi="Times New Roman"/>
          <w:sz w:val="24"/>
          <w:szCs w:val="24"/>
        </w:rPr>
        <w:t>1</w:t>
      </w:r>
      <w:r w:rsidR="008B4D0A">
        <w:rPr>
          <w:rFonts w:ascii="Times New Roman" w:hAnsi="Times New Roman"/>
          <w:sz w:val="24"/>
          <w:szCs w:val="24"/>
        </w:rPr>
        <w:t>1</w:t>
      </w:r>
    </w:p>
    <w:p w:rsidR="00944482" w:rsidRPr="00944482" w:rsidRDefault="00944482" w:rsidP="008B4D0A">
      <w:pPr>
        <w:spacing w:line="360" w:lineRule="auto"/>
        <w:jc w:val="both"/>
      </w:pPr>
      <w:r w:rsidRPr="00944482">
        <w:rPr>
          <w:b/>
          <w:bCs/>
        </w:rPr>
        <w:t>Figura 4.</w:t>
      </w:r>
      <w:r w:rsidRPr="00944482">
        <w:rPr>
          <w:bCs/>
          <w:kern w:val="28"/>
        </w:rPr>
        <w:t xml:space="preserve"> Proteínas totais, </w:t>
      </w:r>
      <w:r w:rsidRPr="00944482">
        <w:rPr>
          <w:bCs/>
          <w:i/>
          <w:iCs/>
          <w:kern w:val="28"/>
        </w:rPr>
        <w:t>mg.dL</w:t>
      </w:r>
      <w:r w:rsidRPr="00944482">
        <w:rPr>
          <w:bCs/>
          <w:i/>
          <w:iCs/>
          <w:kern w:val="28"/>
          <w:vertAlign w:val="superscript"/>
        </w:rPr>
        <w:t>-1</w:t>
      </w:r>
      <w:r w:rsidRPr="00944482">
        <w:rPr>
          <w:bCs/>
          <w:kern w:val="28"/>
        </w:rPr>
        <w:t xml:space="preserve"> (A); Albumina, </w:t>
      </w:r>
      <w:r w:rsidRPr="00944482">
        <w:rPr>
          <w:bCs/>
          <w:i/>
          <w:iCs/>
          <w:kern w:val="28"/>
        </w:rPr>
        <w:t>mg.dL</w:t>
      </w:r>
      <w:r w:rsidRPr="00944482">
        <w:rPr>
          <w:bCs/>
          <w:i/>
          <w:iCs/>
          <w:kern w:val="28"/>
          <w:vertAlign w:val="superscript"/>
        </w:rPr>
        <w:t>-1</w:t>
      </w:r>
      <w:r w:rsidRPr="00944482">
        <w:rPr>
          <w:bCs/>
          <w:kern w:val="28"/>
        </w:rPr>
        <w:t xml:space="preserve"> (B); Globulinas, </w:t>
      </w:r>
      <w:r w:rsidRPr="00944482">
        <w:rPr>
          <w:bCs/>
          <w:i/>
          <w:iCs/>
          <w:kern w:val="28"/>
        </w:rPr>
        <w:t>mg.dL</w:t>
      </w:r>
      <w:r w:rsidRPr="00944482">
        <w:rPr>
          <w:bCs/>
          <w:i/>
          <w:iCs/>
          <w:kern w:val="28"/>
          <w:vertAlign w:val="superscript"/>
        </w:rPr>
        <w:t>-1</w:t>
      </w:r>
      <w:r w:rsidRPr="00944482">
        <w:rPr>
          <w:bCs/>
          <w:kern w:val="28"/>
        </w:rPr>
        <w:t xml:space="preserve"> (C) e relação Albumina:Globulinas (D) no plasma de fêmeas suínas em fase inicial, com artrite induzida por adjuvante na fase de lactação</w:t>
      </w:r>
      <w:r w:rsidRPr="00944482">
        <w:ptab w:relativeTo="margin" w:alignment="right" w:leader="dot"/>
      </w:r>
      <w:r w:rsidRPr="00944482">
        <w:t>1</w:t>
      </w:r>
      <w:r w:rsidR="008B4D0A">
        <w:t>3</w:t>
      </w:r>
    </w:p>
    <w:p w:rsidR="00944482" w:rsidRPr="00944482" w:rsidRDefault="00944482" w:rsidP="008B4D0A">
      <w:pPr>
        <w:spacing w:line="360" w:lineRule="auto"/>
        <w:jc w:val="both"/>
      </w:pPr>
      <w:r w:rsidRPr="00944482">
        <w:rPr>
          <w:b/>
          <w:bCs/>
        </w:rPr>
        <w:t>Figura 5.</w:t>
      </w:r>
      <w:r w:rsidR="0034711D">
        <w:rPr>
          <w:b/>
          <w:bCs/>
        </w:rPr>
        <w:t xml:space="preserve"> </w:t>
      </w:r>
      <w:r w:rsidRPr="00944482">
        <w:rPr>
          <w:color w:val="000000"/>
        </w:rPr>
        <w:t>IgA,</w:t>
      </w:r>
      <w:r w:rsidR="008B4D0A">
        <w:rPr>
          <w:color w:val="000000"/>
        </w:rPr>
        <w:t xml:space="preserve"> </w:t>
      </w:r>
      <w:r w:rsidRPr="00944482">
        <w:rPr>
          <w:i/>
        </w:rPr>
        <w:t>mg.dL</w:t>
      </w:r>
      <w:r w:rsidRPr="00944482">
        <w:rPr>
          <w:i/>
          <w:vertAlign w:val="superscript"/>
        </w:rPr>
        <w:t>-1</w:t>
      </w:r>
      <w:r w:rsidRPr="00944482">
        <w:t xml:space="preserve"> (A); IgG, </w:t>
      </w:r>
      <w:r w:rsidRPr="00944482">
        <w:rPr>
          <w:i/>
        </w:rPr>
        <w:t>mg.dL</w:t>
      </w:r>
      <w:r w:rsidRPr="00944482">
        <w:rPr>
          <w:i/>
          <w:vertAlign w:val="superscript"/>
        </w:rPr>
        <w:t>-1</w:t>
      </w:r>
      <w:r w:rsidRPr="00944482">
        <w:t xml:space="preserve"> (B); Transferrina, </w:t>
      </w:r>
      <w:r w:rsidRPr="00944482">
        <w:rPr>
          <w:i/>
        </w:rPr>
        <w:t>mg.dL</w:t>
      </w:r>
      <w:r w:rsidRPr="00944482">
        <w:rPr>
          <w:i/>
          <w:vertAlign w:val="superscript"/>
        </w:rPr>
        <w:t>-1</w:t>
      </w:r>
      <w:r w:rsidRPr="00944482">
        <w:t xml:space="preserve"> (C); Ceruloplasmina (D), </w:t>
      </w:r>
      <w:r w:rsidRPr="00944482">
        <w:rPr>
          <w:i/>
        </w:rPr>
        <w:t>mg.dL</w:t>
      </w:r>
      <w:r w:rsidRPr="00944482">
        <w:rPr>
          <w:i/>
          <w:vertAlign w:val="superscript"/>
        </w:rPr>
        <w:t>-1</w:t>
      </w:r>
      <w:r w:rsidRPr="00944482">
        <w:t xml:space="preserve">; Haptoglobina (E), </w:t>
      </w:r>
      <w:r w:rsidRPr="00944482">
        <w:rPr>
          <w:i/>
        </w:rPr>
        <w:t>mg.dL</w:t>
      </w:r>
      <w:r w:rsidRPr="00944482">
        <w:rPr>
          <w:i/>
          <w:vertAlign w:val="superscript"/>
        </w:rPr>
        <w:t>-1</w:t>
      </w:r>
      <w:r w:rsidRPr="00944482">
        <w:t xml:space="preserve"> e </w:t>
      </w:r>
      <w:r w:rsidRPr="00944482">
        <w:rPr>
          <w:rFonts w:eastAsia="SimSun"/>
        </w:rPr>
        <w:t>α</w:t>
      </w:r>
      <w:r w:rsidRPr="00944482">
        <w:t xml:space="preserve">1-glicoproteína ácida (F), </w:t>
      </w:r>
      <w:r w:rsidRPr="00944482">
        <w:rPr>
          <w:i/>
        </w:rPr>
        <w:t>mg.dL</w:t>
      </w:r>
      <w:r w:rsidRPr="00944482">
        <w:rPr>
          <w:i/>
          <w:vertAlign w:val="superscript"/>
        </w:rPr>
        <w:t>-1</w:t>
      </w:r>
      <w:r w:rsidRPr="00944482">
        <w:t xml:space="preserve"> no soro sanguíneo d</w:t>
      </w:r>
      <w:r w:rsidRPr="00944482">
        <w:rPr>
          <w:color w:val="0D0D0D"/>
        </w:rPr>
        <w:t>e fêmeas suínas em fase inicial, com artrite induzida por adjuvante na fase de lactação</w:t>
      </w:r>
      <w:r w:rsidRPr="00944482">
        <w:ptab w:relativeTo="margin" w:alignment="right" w:leader="dot"/>
      </w:r>
      <w:r w:rsidRPr="00944482">
        <w:t>1</w:t>
      </w:r>
      <w:r w:rsidR="008B4D0A">
        <w:t>5</w:t>
      </w:r>
    </w:p>
    <w:p w:rsidR="00944482" w:rsidRPr="00AB7D6D" w:rsidRDefault="00944482" w:rsidP="00944482"/>
    <w:p w:rsidR="00F37FC5" w:rsidRDefault="00F37FC5">
      <w:pPr>
        <w:pStyle w:val="CabealhodoSumrio2"/>
        <w:tabs>
          <w:tab w:val="right" w:leader="dot" w:pos="8504"/>
        </w:tabs>
        <w:spacing w:before="0" w:after="0"/>
        <w:jc w:val="both"/>
        <w:rPr>
          <w:rFonts w:ascii="Times New Roman" w:hAnsi="Times New Roman"/>
          <w:b w:val="0"/>
          <w:sz w:val="24"/>
          <w:szCs w:val="24"/>
          <w:highlight w:val="yellow"/>
        </w:rPr>
      </w:pPr>
    </w:p>
    <w:p w:rsidR="00F37FC5" w:rsidRDefault="00F37FC5">
      <w:pPr>
        <w:suppressLineNumbers/>
        <w:autoSpaceDE w:val="0"/>
        <w:autoSpaceDN w:val="0"/>
        <w:adjustRightInd w:val="0"/>
        <w:spacing w:line="360" w:lineRule="auto"/>
        <w:rPr>
          <w:b/>
        </w:rPr>
      </w:pPr>
    </w:p>
    <w:p w:rsidR="00F37FC5" w:rsidRDefault="00F37FC5">
      <w:pPr>
        <w:spacing w:after="20" w:line="480" w:lineRule="auto"/>
        <w:ind w:right="85"/>
        <w:jc w:val="center"/>
      </w:pPr>
    </w:p>
    <w:p w:rsidR="00F37FC5" w:rsidRDefault="00F37FC5">
      <w:pPr>
        <w:spacing w:after="20" w:line="480" w:lineRule="auto"/>
        <w:ind w:right="85"/>
        <w:jc w:val="center"/>
      </w:pPr>
    </w:p>
    <w:p w:rsidR="00F37FC5" w:rsidRDefault="00F37FC5">
      <w:pPr>
        <w:spacing w:after="20" w:line="480" w:lineRule="auto"/>
        <w:ind w:right="85"/>
        <w:jc w:val="center"/>
      </w:pPr>
    </w:p>
    <w:p w:rsidR="00F37FC5" w:rsidRDefault="00F37FC5">
      <w:pPr>
        <w:spacing w:after="20" w:line="480" w:lineRule="auto"/>
        <w:ind w:right="85"/>
        <w:jc w:val="center"/>
      </w:pPr>
    </w:p>
    <w:p w:rsidR="00F37FC5" w:rsidRDefault="00F37FC5">
      <w:pPr>
        <w:spacing w:after="20" w:line="480" w:lineRule="auto"/>
        <w:ind w:right="85"/>
        <w:jc w:val="center"/>
      </w:pPr>
    </w:p>
    <w:p w:rsidR="00F37FC5" w:rsidRDefault="00F37FC5">
      <w:pPr>
        <w:spacing w:after="20" w:line="480" w:lineRule="auto"/>
        <w:ind w:right="85"/>
        <w:jc w:val="center"/>
      </w:pPr>
    </w:p>
    <w:p w:rsidR="00F37FC5" w:rsidRDefault="00F37FC5">
      <w:pPr>
        <w:spacing w:after="20" w:line="480" w:lineRule="auto"/>
        <w:ind w:right="85"/>
        <w:jc w:val="center"/>
        <w:sectPr w:rsidR="00F37FC5" w:rsidSect="00BF12C5">
          <w:footerReference w:type="default" r:id="rId10"/>
          <w:pgSz w:w="11907" w:h="16840" w:code="9"/>
          <w:pgMar w:top="1418" w:right="1418" w:bottom="1418" w:left="1418" w:header="987" w:footer="1021" w:gutter="0"/>
          <w:pgNumType w:fmt="upperRoman" w:start="1"/>
          <w:cols w:space="708"/>
          <w:titlePg/>
          <w:docGrid w:linePitch="326"/>
        </w:sectPr>
      </w:pPr>
    </w:p>
    <w:p w:rsidR="00FC7FE4" w:rsidRPr="00915C7C" w:rsidRDefault="00915C7C" w:rsidP="00BF12C5">
      <w:pPr>
        <w:spacing w:after="0" w:line="360" w:lineRule="auto"/>
        <w:ind w:right="85"/>
        <w:jc w:val="center"/>
        <w:rPr>
          <w:b/>
        </w:rPr>
      </w:pPr>
      <w:bookmarkStart w:id="6" w:name="_Toc338607674"/>
      <w:bookmarkStart w:id="7" w:name="_Toc338607837"/>
      <w:bookmarkStart w:id="8" w:name="_Toc338607522"/>
      <w:bookmarkStart w:id="9" w:name="_Toc338606669"/>
      <w:bookmarkEnd w:id="4"/>
      <w:bookmarkEnd w:id="5"/>
      <w:r w:rsidRPr="00915C7C">
        <w:rPr>
          <w:b/>
        </w:rPr>
        <w:lastRenderedPageBreak/>
        <w:t>RESPOSTA INFLAMATÓRIA DE LEITÕES RECÉM-DESMAMADOS COM ARTRITE INDUZIDA POR ADJUVANTE</w:t>
      </w:r>
      <w:r w:rsidR="00934AF2" w:rsidRPr="00934AF2">
        <w:rPr>
          <w:b/>
          <w:vertAlign w:val="superscript"/>
        </w:rPr>
        <w:t>1</w:t>
      </w:r>
      <w:r w:rsidR="00934AF2">
        <w:rPr>
          <w:rStyle w:val="Refdenotaderodap"/>
          <w:b/>
        </w:rPr>
        <w:footnoteReference w:id="1"/>
      </w:r>
    </w:p>
    <w:p w:rsidR="00F37FC5" w:rsidRPr="00915C7C" w:rsidRDefault="00F37FC5" w:rsidP="00BF12C5">
      <w:pPr>
        <w:spacing w:after="0" w:line="360" w:lineRule="auto"/>
        <w:ind w:right="85"/>
        <w:jc w:val="center"/>
        <w:rPr>
          <w:b/>
          <w:caps/>
        </w:rPr>
      </w:pPr>
    </w:p>
    <w:p w:rsidR="00F37FC5" w:rsidRPr="00915C7C" w:rsidRDefault="005751A3" w:rsidP="00BF12C5">
      <w:pPr>
        <w:spacing w:after="0" w:line="360" w:lineRule="auto"/>
        <w:ind w:right="85"/>
        <w:jc w:val="center"/>
      </w:pPr>
      <w:bookmarkStart w:id="10" w:name="_Toc339289832"/>
      <w:bookmarkEnd w:id="6"/>
      <w:bookmarkEnd w:id="7"/>
      <w:bookmarkEnd w:id="8"/>
      <w:bookmarkEnd w:id="9"/>
      <w:r w:rsidRPr="00915C7C">
        <w:t>ARAUJO, Gabrie</w:t>
      </w:r>
      <w:r w:rsidR="00934AF2">
        <w:t>l Amaral de;</w:t>
      </w:r>
      <w:r w:rsidRPr="00915C7C">
        <w:t xml:space="preserve"> FERREIRA, Leonardo F</w:t>
      </w:r>
      <w:r w:rsidR="0034711D" w:rsidRPr="00915C7C">
        <w:t>ili</w:t>
      </w:r>
      <w:r w:rsidR="00934AF2">
        <w:t>pe Malavazi;</w:t>
      </w:r>
      <w:r w:rsidRPr="00915C7C">
        <w:t xml:space="preserve"> </w:t>
      </w:r>
      <w:r w:rsidR="00934AF2">
        <w:t>ARAÚJO, Gustavo Henrique de;</w:t>
      </w:r>
      <w:r w:rsidR="0034711D" w:rsidRPr="00915C7C">
        <w:t xml:space="preserve"> </w:t>
      </w:r>
      <w:r w:rsidR="00934AF2">
        <w:t>LEAL, Isabela Ferreira;</w:t>
      </w:r>
      <w:r w:rsidR="00582409" w:rsidRPr="00915C7C">
        <w:t xml:space="preserve">, </w:t>
      </w:r>
      <w:r w:rsidR="001519E6" w:rsidRPr="00915C7C">
        <w:t>POZZA, Paulo Cesar</w:t>
      </w:r>
      <w:r w:rsidR="00934AF2">
        <w:t>;</w:t>
      </w:r>
      <w:r w:rsidR="00915C7C" w:rsidRPr="00915C7C">
        <w:t xml:space="preserve"> CASTILHA, Leandro Dalcin</w:t>
      </w:r>
      <w:r w:rsidR="00934AF2">
        <w:t>.</w:t>
      </w:r>
    </w:p>
    <w:p w:rsidR="00F37FC5" w:rsidRPr="00915C7C" w:rsidRDefault="00F37FC5" w:rsidP="00BF12C5">
      <w:pPr>
        <w:spacing w:after="0" w:line="360" w:lineRule="auto"/>
        <w:ind w:right="85"/>
        <w:jc w:val="center"/>
      </w:pPr>
    </w:p>
    <w:p w:rsidR="00F37FC5" w:rsidRPr="00915C7C" w:rsidRDefault="005751A3" w:rsidP="00BF12C5">
      <w:pPr>
        <w:spacing w:after="0" w:line="360" w:lineRule="auto"/>
        <w:ind w:right="85"/>
        <w:jc w:val="both"/>
      </w:pPr>
      <w:r w:rsidRPr="00915C7C">
        <w:rPr>
          <w:b/>
        </w:rPr>
        <w:t>RESUMO</w:t>
      </w:r>
      <w:r w:rsidRPr="00915C7C">
        <w:t xml:space="preserve"> – </w:t>
      </w:r>
      <w:r w:rsidR="00EC67EE" w:rsidRPr="00915C7C">
        <w:t>O</w:t>
      </w:r>
      <w:r w:rsidRPr="00915C7C">
        <w:t xml:space="preserve"> objetivo </w:t>
      </w:r>
      <w:r w:rsidR="00EC67EE" w:rsidRPr="00915C7C">
        <w:t>deste trabalho foi</w:t>
      </w:r>
      <w:r w:rsidRPr="00915C7C">
        <w:t xml:space="preserve"> avaliar o estado oxidativo </w:t>
      </w:r>
      <w:r w:rsidR="00D8089B" w:rsidRPr="00915C7C">
        <w:t xml:space="preserve">e perfil de proteínas de fase aguda </w:t>
      </w:r>
      <w:r w:rsidRPr="00915C7C">
        <w:t xml:space="preserve">de leitões em fase pós-desmame como parâmetro de manifestação de artrite em </w:t>
      </w:r>
      <w:r w:rsidR="0054416A" w:rsidRPr="00915C7C">
        <w:t>animais</w:t>
      </w:r>
      <w:r w:rsidRPr="00915C7C">
        <w:t xml:space="preserve"> submetidos à indução por adjuvante na fase de lactação</w:t>
      </w:r>
      <w:r w:rsidR="00EC67EE" w:rsidRPr="00915C7C">
        <w:t>. F</w:t>
      </w:r>
      <w:r w:rsidRPr="00915C7C">
        <w:t xml:space="preserve">oram utilizadas 32 fêmeas suínas com idade inicial de </w:t>
      </w:r>
      <w:r w:rsidR="00B57122" w:rsidRPr="00915C7C">
        <w:t>sete</w:t>
      </w:r>
      <w:r w:rsidRPr="00915C7C">
        <w:t xml:space="preserve"> dias</w:t>
      </w:r>
      <w:r w:rsidR="00902E29" w:rsidRPr="00915C7C">
        <w:t xml:space="preserve">, </w:t>
      </w:r>
      <w:r w:rsidR="008A508D" w:rsidRPr="00915C7C">
        <w:rPr>
          <w:color w:val="000000"/>
        </w:rPr>
        <w:t xml:space="preserve">um </w:t>
      </w:r>
      <w:r w:rsidR="009B6DF6" w:rsidRPr="00915C7C">
        <w:rPr>
          <w:color w:val="000000"/>
        </w:rPr>
        <w:t xml:space="preserve">grupo </w:t>
      </w:r>
      <w:r w:rsidR="00902E29" w:rsidRPr="00915C7C">
        <w:rPr>
          <w:color w:val="000000"/>
        </w:rPr>
        <w:t xml:space="preserve">(n=16) </w:t>
      </w:r>
      <w:r w:rsidR="009B6DF6" w:rsidRPr="00915C7C">
        <w:rPr>
          <w:color w:val="000000"/>
        </w:rPr>
        <w:t xml:space="preserve">com </w:t>
      </w:r>
      <w:r w:rsidR="008A508D" w:rsidRPr="00915C7C">
        <w:rPr>
          <w:color w:val="000000"/>
        </w:rPr>
        <w:t>protocolo de</w:t>
      </w:r>
      <w:r w:rsidRPr="00915C7C">
        <w:rPr>
          <w:color w:val="000000"/>
        </w:rPr>
        <w:t xml:space="preserve"> indução de artrite</w:t>
      </w:r>
      <w:r w:rsidR="00EC67EE" w:rsidRPr="00915C7C">
        <w:rPr>
          <w:color w:val="000000"/>
        </w:rPr>
        <w:t xml:space="preserve"> </w:t>
      </w:r>
      <w:r w:rsidRPr="00915C7C">
        <w:rPr>
          <w:color w:val="000000"/>
        </w:rPr>
        <w:t>através da injeção</w:t>
      </w:r>
      <w:r w:rsidR="00836F24" w:rsidRPr="00915C7C">
        <w:rPr>
          <w:color w:val="000000"/>
        </w:rPr>
        <w:t xml:space="preserve"> de 0,1 mL</w:t>
      </w:r>
      <w:r w:rsidRPr="00915C7C">
        <w:rPr>
          <w:color w:val="000000"/>
        </w:rPr>
        <w:t xml:space="preserve"> intradérmica d</w:t>
      </w:r>
      <w:r w:rsidR="00A94C29" w:rsidRPr="00915C7C">
        <w:rPr>
          <w:color w:val="000000"/>
        </w:rPr>
        <w:t>o</w:t>
      </w:r>
      <w:r w:rsidRPr="00915C7C">
        <w:rPr>
          <w:color w:val="000000"/>
        </w:rPr>
        <w:t xml:space="preserve"> adjuvante completo de FREUND (</w:t>
      </w:r>
      <w:r w:rsidRPr="00915C7C">
        <w:rPr>
          <w:i/>
          <w:color w:val="000000"/>
        </w:rPr>
        <w:t xml:space="preserve">Mycobaterium tuberculosis </w:t>
      </w:r>
      <w:r w:rsidRPr="00915C7C">
        <w:rPr>
          <w:color w:val="000000"/>
        </w:rPr>
        <w:t>derivado da cepa humana H37Rv e inativas por calor, suspendidas em óleo mineral 0,5% (w/v))</w:t>
      </w:r>
      <w:r w:rsidR="009B6DF6" w:rsidRPr="00915C7C">
        <w:rPr>
          <w:color w:val="000000"/>
        </w:rPr>
        <w:t xml:space="preserve"> na articulação tarso-falange do membro posterior direito</w:t>
      </w:r>
      <w:r w:rsidRPr="00915C7C">
        <w:rPr>
          <w:color w:val="000000"/>
        </w:rPr>
        <w:t>.</w:t>
      </w:r>
      <w:r w:rsidR="009B6DF6" w:rsidRPr="00915C7C">
        <w:rPr>
          <w:color w:val="000000"/>
        </w:rPr>
        <w:t xml:space="preserve"> Outro grupo</w:t>
      </w:r>
      <w:r w:rsidR="00902E29" w:rsidRPr="00915C7C">
        <w:rPr>
          <w:color w:val="000000"/>
        </w:rPr>
        <w:t xml:space="preserve"> (n=16)</w:t>
      </w:r>
      <w:r w:rsidR="009B6DF6" w:rsidRPr="00915C7C">
        <w:rPr>
          <w:color w:val="000000"/>
        </w:rPr>
        <w:t xml:space="preserve">, o </w:t>
      </w:r>
      <w:r w:rsidR="008A508D" w:rsidRPr="00915C7C">
        <w:rPr>
          <w:color w:val="000000"/>
        </w:rPr>
        <w:t>protocolo controle</w:t>
      </w:r>
      <w:r w:rsidR="009B6DF6" w:rsidRPr="00915C7C">
        <w:rPr>
          <w:color w:val="000000"/>
        </w:rPr>
        <w:t>,</w:t>
      </w:r>
      <w:r w:rsidR="00EC67EE" w:rsidRPr="00915C7C">
        <w:rPr>
          <w:color w:val="000000"/>
        </w:rPr>
        <w:t xml:space="preserve"> </w:t>
      </w:r>
      <w:r w:rsidRPr="00915C7C">
        <w:rPr>
          <w:color w:val="000000"/>
        </w:rPr>
        <w:t>foi submetido ao mesmo manejo com soro fisiológico (0,9%). Os animais foram desmamados aos 21 dias de idade</w:t>
      </w:r>
      <w:r w:rsidR="00D54E7B" w:rsidRPr="00915C7C">
        <w:rPr>
          <w:color w:val="000000"/>
        </w:rPr>
        <w:t xml:space="preserve"> e a</w:t>
      </w:r>
      <w:r w:rsidR="000038B0" w:rsidRPr="00915C7C">
        <w:rPr>
          <w:color w:val="000000"/>
        </w:rPr>
        <w:t>os 36 dias de idade</w:t>
      </w:r>
      <w:r w:rsidR="00836F24" w:rsidRPr="00915C7C">
        <w:rPr>
          <w:color w:val="000000"/>
        </w:rPr>
        <w:t xml:space="preserve"> foram eutanasiados e c</w:t>
      </w:r>
      <w:r w:rsidRPr="00915C7C">
        <w:rPr>
          <w:color w:val="000000"/>
        </w:rPr>
        <w:t xml:space="preserve">olhidas amostras de sangue na veia jugular, centrifugadas a 3.000 rpm por 15 minutos para </w:t>
      </w:r>
      <w:r w:rsidR="00EF0BB6" w:rsidRPr="00915C7C">
        <w:rPr>
          <w:color w:val="000000"/>
        </w:rPr>
        <w:t>separação</w:t>
      </w:r>
      <w:r w:rsidRPr="00915C7C">
        <w:rPr>
          <w:color w:val="000000"/>
        </w:rPr>
        <w:t xml:space="preserve"> do plasma</w:t>
      </w:r>
      <w:r w:rsidR="00EF0BB6" w:rsidRPr="00915C7C">
        <w:rPr>
          <w:color w:val="000000"/>
        </w:rPr>
        <w:t xml:space="preserve"> e soro sanguíneo, onde foram determinados os p</w:t>
      </w:r>
      <w:r w:rsidRPr="00915C7C">
        <w:rPr>
          <w:color w:val="000000"/>
        </w:rPr>
        <w:t>arâmetros d</w:t>
      </w:r>
      <w:r w:rsidR="00EF0BB6" w:rsidRPr="00915C7C">
        <w:rPr>
          <w:color w:val="000000"/>
        </w:rPr>
        <w:t>o</w:t>
      </w:r>
      <w:r w:rsidRPr="00915C7C">
        <w:rPr>
          <w:color w:val="000000"/>
        </w:rPr>
        <w:t xml:space="preserve"> estado oxidativo: glutationa reduzida (GSH), capacidade antioxidante total (TAC), tióis, proteínas carboniladas, albuminas, globulinas</w:t>
      </w:r>
      <w:r w:rsidR="00445E17" w:rsidRPr="00915C7C">
        <w:rPr>
          <w:color w:val="000000"/>
        </w:rPr>
        <w:t xml:space="preserve">, </w:t>
      </w:r>
      <w:r w:rsidRPr="00915C7C">
        <w:rPr>
          <w:color w:val="000000"/>
        </w:rPr>
        <w:t>relação albumina:globulina</w:t>
      </w:r>
      <w:r w:rsidR="00EF0BB6" w:rsidRPr="00915C7C">
        <w:rPr>
          <w:color w:val="000000"/>
        </w:rPr>
        <w:t xml:space="preserve"> e </w:t>
      </w:r>
      <w:r w:rsidR="000038B0" w:rsidRPr="00915C7C">
        <w:rPr>
          <w:color w:val="000000"/>
        </w:rPr>
        <w:t>as</w:t>
      </w:r>
      <w:r w:rsidR="00EF0BB6" w:rsidRPr="00915C7C">
        <w:rPr>
          <w:color w:val="000000"/>
        </w:rPr>
        <w:t xml:space="preserve"> proteínas de fase aguda: </w:t>
      </w:r>
      <w:r w:rsidR="00D8089B" w:rsidRPr="00915C7C">
        <w:rPr>
          <w:color w:val="000000"/>
        </w:rPr>
        <w:t xml:space="preserve">IgA, IgG, Trasferrina, Ceruloplasmina, Haptoglobina e </w:t>
      </w:r>
      <w:r w:rsidR="00D8089B" w:rsidRPr="00915C7C">
        <w:rPr>
          <w:rFonts w:eastAsia="SimSun"/>
        </w:rPr>
        <w:t>α1-glicoproteína ácida.</w:t>
      </w:r>
      <w:r w:rsidR="0054416A" w:rsidRPr="00915C7C">
        <w:rPr>
          <w:rFonts w:eastAsia="SimSun"/>
        </w:rPr>
        <w:t xml:space="preserve"> </w:t>
      </w:r>
      <w:r w:rsidR="00A94C29" w:rsidRPr="00915C7C">
        <w:rPr>
          <w:color w:val="000000"/>
        </w:rPr>
        <w:t>Foi coletad</w:t>
      </w:r>
      <w:r w:rsidR="001519E6" w:rsidRPr="00915C7C">
        <w:rPr>
          <w:color w:val="000000"/>
        </w:rPr>
        <w:t xml:space="preserve">o </w:t>
      </w:r>
      <w:r w:rsidR="00A94C29" w:rsidRPr="00915C7C">
        <w:rPr>
          <w:color w:val="000000"/>
        </w:rPr>
        <w:t xml:space="preserve">o </w:t>
      </w:r>
      <w:r w:rsidR="001519E6" w:rsidRPr="00915C7C">
        <w:rPr>
          <w:color w:val="000000"/>
        </w:rPr>
        <w:t xml:space="preserve">fígado </w:t>
      </w:r>
      <w:r w:rsidR="000038B0" w:rsidRPr="00915C7C">
        <w:rPr>
          <w:color w:val="000000"/>
        </w:rPr>
        <w:t>para determinar a</w:t>
      </w:r>
      <w:r w:rsidR="001519E6" w:rsidRPr="00915C7C">
        <w:rPr>
          <w:color w:val="000000"/>
        </w:rPr>
        <w:t xml:space="preserve"> atividade</w:t>
      </w:r>
      <w:r w:rsidR="0054416A" w:rsidRPr="00915C7C">
        <w:rPr>
          <w:color w:val="000000"/>
        </w:rPr>
        <w:t xml:space="preserve"> </w:t>
      </w:r>
      <w:r w:rsidR="001519E6" w:rsidRPr="00915C7C">
        <w:rPr>
          <w:color w:val="000000"/>
        </w:rPr>
        <w:t>antioxidante da catalase</w:t>
      </w:r>
      <w:r w:rsidR="008A508D" w:rsidRPr="00915C7C">
        <w:rPr>
          <w:color w:val="000000"/>
        </w:rPr>
        <w:t>,</w:t>
      </w:r>
      <w:r w:rsidR="0054416A" w:rsidRPr="00915C7C">
        <w:rPr>
          <w:color w:val="000000"/>
        </w:rPr>
        <w:t xml:space="preserve"> </w:t>
      </w:r>
      <w:r w:rsidR="001519E6" w:rsidRPr="00915C7C">
        <w:rPr>
          <w:color w:val="000000"/>
        </w:rPr>
        <w:t>superóxido dismutase</w:t>
      </w:r>
      <w:r w:rsidR="008A508D" w:rsidRPr="00915C7C">
        <w:rPr>
          <w:color w:val="000000"/>
        </w:rPr>
        <w:t xml:space="preserve"> e </w:t>
      </w:r>
      <w:r w:rsidR="001519E6" w:rsidRPr="00915C7C">
        <w:rPr>
          <w:color w:val="000000"/>
        </w:rPr>
        <w:t xml:space="preserve">conteúdo de proteínas carboniladas. </w:t>
      </w:r>
      <w:r w:rsidR="00A23530" w:rsidRPr="00915C7C">
        <w:rPr>
          <w:color w:val="000000"/>
        </w:rPr>
        <w:t xml:space="preserve">Embora não tenha diferença </w:t>
      </w:r>
      <w:r w:rsidR="00A94C29" w:rsidRPr="00915C7C">
        <w:rPr>
          <w:color w:val="000000"/>
        </w:rPr>
        <w:t>(P&gt;0,05) para</w:t>
      </w:r>
      <w:r w:rsidR="00A23530" w:rsidRPr="00915C7C">
        <w:rPr>
          <w:color w:val="000000"/>
        </w:rPr>
        <w:t xml:space="preserve"> as proteínas de fase aguda, todas as variáveis do </w:t>
      </w:r>
      <w:r w:rsidR="00A94C29" w:rsidRPr="00915C7C">
        <w:rPr>
          <w:color w:val="000000"/>
        </w:rPr>
        <w:t xml:space="preserve">estresse </w:t>
      </w:r>
      <w:r w:rsidR="00A23530" w:rsidRPr="00915C7C">
        <w:rPr>
          <w:color w:val="000000"/>
        </w:rPr>
        <w:t>o</w:t>
      </w:r>
      <w:r w:rsidR="00A94C29" w:rsidRPr="00915C7C">
        <w:rPr>
          <w:color w:val="000000"/>
        </w:rPr>
        <w:t xml:space="preserve">xidativo </w:t>
      </w:r>
      <w:r w:rsidR="00A23530" w:rsidRPr="00915C7C">
        <w:rPr>
          <w:color w:val="000000"/>
        </w:rPr>
        <w:t>apresentaram</w:t>
      </w:r>
      <w:r w:rsidRPr="00915C7C">
        <w:rPr>
          <w:color w:val="000000"/>
        </w:rPr>
        <w:t xml:space="preserve"> diferença (</w:t>
      </w:r>
      <w:r w:rsidR="00A23530" w:rsidRPr="00915C7C">
        <w:rPr>
          <w:color w:val="000000"/>
        </w:rPr>
        <w:t>P</w:t>
      </w:r>
      <w:r w:rsidRPr="00915C7C">
        <w:rPr>
          <w:color w:val="000000"/>
        </w:rPr>
        <w:t>&lt;0,05) entre os tratamentos. Conclui-se que o protocolo de indução de artrite na fase de lactação foi eficiente para a manifestação da doença na fase pós desmame.</w:t>
      </w:r>
    </w:p>
    <w:p w:rsidR="00934AF2" w:rsidRDefault="00934AF2" w:rsidP="00BF12C5">
      <w:pPr>
        <w:spacing w:after="0" w:line="360" w:lineRule="auto"/>
        <w:ind w:right="85"/>
        <w:jc w:val="both"/>
        <w:rPr>
          <w:b/>
        </w:rPr>
      </w:pPr>
    </w:p>
    <w:p w:rsidR="00F37FC5" w:rsidRPr="00915C7C" w:rsidRDefault="005751A3" w:rsidP="00BF12C5">
      <w:pPr>
        <w:spacing w:after="0" w:line="360" w:lineRule="auto"/>
        <w:ind w:right="85"/>
        <w:jc w:val="both"/>
      </w:pPr>
      <w:r w:rsidRPr="00915C7C">
        <w:rPr>
          <w:b/>
        </w:rPr>
        <w:t xml:space="preserve">Palavras-chave: </w:t>
      </w:r>
      <w:bookmarkEnd w:id="10"/>
      <w:r w:rsidRPr="00915C7C">
        <w:t>defesa antioxidante, estresse oxidativo, inflamação</w:t>
      </w:r>
    </w:p>
    <w:p w:rsidR="00934AF2" w:rsidRPr="00934AF2" w:rsidRDefault="00934AF2" w:rsidP="00BF12C5">
      <w:pPr>
        <w:rPr>
          <w:b/>
          <w:bCs/>
          <w:iCs/>
        </w:rPr>
      </w:pPr>
      <w:r w:rsidRPr="00934AF2">
        <w:rPr>
          <w:b/>
          <w:bCs/>
          <w:iCs/>
        </w:rPr>
        <w:br w:type="page"/>
      </w:r>
    </w:p>
    <w:p w:rsidR="00915C7C" w:rsidRPr="00915C7C" w:rsidRDefault="00915C7C" w:rsidP="00BF12C5">
      <w:pPr>
        <w:spacing w:after="0" w:line="360" w:lineRule="auto"/>
        <w:ind w:right="85"/>
        <w:jc w:val="center"/>
        <w:rPr>
          <w:b/>
          <w:bCs/>
          <w:iCs/>
          <w:caps/>
          <w:lang w:val="en-US"/>
        </w:rPr>
      </w:pPr>
      <w:r w:rsidRPr="00915C7C">
        <w:rPr>
          <w:b/>
          <w:bCs/>
          <w:iCs/>
          <w:lang w:val="en-US"/>
        </w:rPr>
        <w:lastRenderedPageBreak/>
        <w:t>INFLAMMATORY RESPONSE OF POST WEANING PIGLETS WITH ADJUVANT INDUCED ARTHRITIS</w:t>
      </w:r>
    </w:p>
    <w:p w:rsidR="00B63948" w:rsidRPr="00915C7C" w:rsidRDefault="00B63948" w:rsidP="00BF12C5">
      <w:pPr>
        <w:spacing w:after="0" w:line="360" w:lineRule="auto"/>
        <w:ind w:right="85"/>
        <w:jc w:val="both"/>
        <w:rPr>
          <w:lang w:val="en-US"/>
        </w:rPr>
      </w:pPr>
    </w:p>
    <w:p w:rsidR="00F37FC5" w:rsidRDefault="00153041" w:rsidP="00BF12C5">
      <w:pPr>
        <w:spacing w:after="0" w:line="360" w:lineRule="auto"/>
        <w:jc w:val="both"/>
        <w:rPr>
          <w:rFonts w:eastAsia="SimSun"/>
          <w:lang w:val="en-US"/>
        </w:rPr>
      </w:pPr>
      <w:r w:rsidRPr="00915C7C">
        <w:rPr>
          <w:b/>
          <w:lang w:val="en-US"/>
        </w:rPr>
        <w:t>ABSTRACT</w:t>
      </w:r>
      <w:r w:rsidR="005751A3" w:rsidRPr="00915C7C">
        <w:rPr>
          <w:lang w:val="en-US"/>
        </w:rPr>
        <w:t xml:space="preserve">– </w:t>
      </w:r>
      <w:r w:rsidR="0054416A" w:rsidRPr="00915C7C">
        <w:rPr>
          <w:lang w:val="en-US"/>
        </w:rPr>
        <w:t>The a</w:t>
      </w:r>
      <w:r w:rsidR="008A508D" w:rsidRPr="00915C7C">
        <w:rPr>
          <w:lang w:val="en-US"/>
        </w:rPr>
        <w:t>im</w:t>
      </w:r>
      <w:r w:rsidR="0054416A" w:rsidRPr="00915C7C">
        <w:rPr>
          <w:lang w:val="en-US"/>
        </w:rPr>
        <w:t xml:space="preserve"> of this work was to</w:t>
      </w:r>
      <w:r w:rsidR="005751A3" w:rsidRPr="00915C7C">
        <w:rPr>
          <w:lang w:val="en-US"/>
        </w:rPr>
        <w:t xml:space="preserve"> evaluate oxidative state </w:t>
      </w:r>
      <w:r w:rsidR="0054416A" w:rsidRPr="00915C7C">
        <w:rPr>
          <w:lang w:val="en-US"/>
        </w:rPr>
        <w:t xml:space="preserve">and profile of acute phase proteins </w:t>
      </w:r>
      <w:r w:rsidR="00B57122" w:rsidRPr="00915C7C">
        <w:rPr>
          <w:lang w:val="en-US"/>
        </w:rPr>
        <w:t xml:space="preserve">in post weaning phase as </w:t>
      </w:r>
      <w:r w:rsidR="005751A3" w:rsidRPr="00915C7C">
        <w:rPr>
          <w:lang w:val="en-US"/>
        </w:rPr>
        <w:t xml:space="preserve">parameter </w:t>
      </w:r>
      <w:r w:rsidR="00B57122" w:rsidRPr="00915C7C">
        <w:rPr>
          <w:lang w:val="en-US"/>
        </w:rPr>
        <w:t xml:space="preserve">of arthritis manifestation in animals </w:t>
      </w:r>
      <w:r w:rsidR="005751A3" w:rsidRPr="00915C7C">
        <w:rPr>
          <w:lang w:val="en-US"/>
        </w:rPr>
        <w:t>submitted to adjuvant induction in weaning phase.</w:t>
      </w:r>
      <w:r w:rsidR="00DD3AB8" w:rsidRPr="00915C7C">
        <w:rPr>
          <w:lang w:val="en-US"/>
        </w:rPr>
        <w:t xml:space="preserve"> </w:t>
      </w:r>
      <w:r w:rsidR="0054416A" w:rsidRPr="00915C7C">
        <w:rPr>
          <w:lang w:val="en-US"/>
        </w:rPr>
        <w:t xml:space="preserve">Thirty two 7-days-old </w:t>
      </w:r>
      <w:r w:rsidR="00DD3AB8" w:rsidRPr="00915C7C">
        <w:rPr>
          <w:lang w:val="en-US"/>
        </w:rPr>
        <w:t xml:space="preserve">female </w:t>
      </w:r>
      <w:r w:rsidR="0054416A" w:rsidRPr="00915C7C">
        <w:rPr>
          <w:lang w:val="en-US"/>
        </w:rPr>
        <w:t>piglets were used,</w:t>
      </w:r>
      <w:r w:rsidR="009B6DF6" w:rsidRPr="00915C7C">
        <w:rPr>
          <w:lang w:val="en-US"/>
        </w:rPr>
        <w:t xml:space="preserve"> with two groups (n=16)</w:t>
      </w:r>
      <w:r w:rsidR="009B6DF6" w:rsidRPr="00915C7C">
        <w:rPr>
          <w:color w:val="000000"/>
          <w:lang w:val="en-US"/>
        </w:rPr>
        <w:t>, one group</w:t>
      </w:r>
      <w:r w:rsidR="00DD3AB8" w:rsidRPr="00915C7C">
        <w:rPr>
          <w:color w:val="000000"/>
          <w:lang w:val="en-US"/>
        </w:rPr>
        <w:t xml:space="preserve"> were submitted to arthritis induction on right posterior limb tarso-phalax joint by intradermal injection of 0,1 mL of FREUND complete adjuvant (</w:t>
      </w:r>
      <w:r w:rsidR="00DD3AB8" w:rsidRPr="00915C7C">
        <w:rPr>
          <w:i/>
          <w:color w:val="000000"/>
          <w:lang w:val="en-US"/>
        </w:rPr>
        <w:t xml:space="preserve">Mycobacterium tuberculosis </w:t>
      </w:r>
      <w:r w:rsidR="00AF35EB" w:rsidRPr="00915C7C">
        <w:rPr>
          <w:color w:val="000000"/>
          <w:lang w:val="en-US"/>
        </w:rPr>
        <w:t>derivative</w:t>
      </w:r>
      <w:r w:rsidR="00DD3AB8" w:rsidRPr="00915C7C">
        <w:rPr>
          <w:color w:val="000000"/>
          <w:lang w:val="en-US"/>
        </w:rPr>
        <w:t xml:space="preserve"> of human strain H37Rv and inactivated by heat, suspended in </w:t>
      </w:r>
      <w:r w:rsidR="00AF35EB" w:rsidRPr="00915C7C">
        <w:rPr>
          <w:color w:val="000000"/>
          <w:lang w:val="en-US"/>
        </w:rPr>
        <w:t>mineral</w:t>
      </w:r>
      <w:r w:rsidR="00DD3AB8" w:rsidRPr="00915C7C">
        <w:rPr>
          <w:color w:val="000000"/>
          <w:lang w:val="en-US"/>
        </w:rPr>
        <w:t xml:space="preserve"> oil 0,5% (w/v)</w:t>
      </w:r>
      <w:r w:rsidR="00B57122" w:rsidRPr="00915C7C">
        <w:rPr>
          <w:color w:val="000000"/>
          <w:lang w:val="en-US"/>
        </w:rPr>
        <w:t>)</w:t>
      </w:r>
      <w:r w:rsidR="00DD3AB8" w:rsidRPr="00915C7C">
        <w:rPr>
          <w:color w:val="000000"/>
          <w:lang w:val="en-US"/>
        </w:rPr>
        <w:t xml:space="preserve">. </w:t>
      </w:r>
      <w:r w:rsidR="009B6DF6" w:rsidRPr="00915C7C">
        <w:rPr>
          <w:color w:val="000000"/>
          <w:lang w:val="en-US"/>
        </w:rPr>
        <w:t xml:space="preserve">The control </w:t>
      </w:r>
      <w:r w:rsidR="00B57122" w:rsidRPr="00915C7C">
        <w:rPr>
          <w:color w:val="000000"/>
          <w:lang w:val="en-US"/>
        </w:rPr>
        <w:t>group</w:t>
      </w:r>
      <w:r w:rsidR="009B6DF6" w:rsidRPr="00915C7C">
        <w:rPr>
          <w:color w:val="000000"/>
          <w:lang w:val="en-US"/>
        </w:rPr>
        <w:t xml:space="preserve"> </w:t>
      </w:r>
      <w:r w:rsidR="00DD3AB8" w:rsidRPr="00915C7C">
        <w:rPr>
          <w:color w:val="000000"/>
          <w:lang w:val="en-US"/>
        </w:rPr>
        <w:t>w</w:t>
      </w:r>
      <w:r w:rsidR="00B57122" w:rsidRPr="00915C7C">
        <w:rPr>
          <w:color w:val="000000"/>
          <w:lang w:val="en-US"/>
        </w:rPr>
        <w:t>as</w:t>
      </w:r>
      <w:r w:rsidR="00DD3AB8" w:rsidRPr="00915C7C">
        <w:rPr>
          <w:color w:val="000000"/>
          <w:lang w:val="en-US"/>
        </w:rPr>
        <w:t xml:space="preserve"> submitted to the same handling with sodium chloride</w:t>
      </w:r>
      <w:r w:rsidR="009B6DF6" w:rsidRPr="00915C7C">
        <w:rPr>
          <w:color w:val="000000"/>
          <w:lang w:val="en-US"/>
        </w:rPr>
        <w:t xml:space="preserve"> (0,9%)</w:t>
      </w:r>
      <w:r w:rsidR="00DD3AB8" w:rsidRPr="00915C7C">
        <w:rPr>
          <w:color w:val="000000"/>
          <w:lang w:val="en-US"/>
        </w:rPr>
        <w:t xml:space="preserve">. </w:t>
      </w:r>
      <w:r w:rsidR="00B57122" w:rsidRPr="00915C7C">
        <w:rPr>
          <w:color w:val="000000"/>
          <w:lang w:val="en-US"/>
        </w:rPr>
        <w:t xml:space="preserve">Animals </w:t>
      </w:r>
      <w:r w:rsidR="000120EE" w:rsidRPr="00915C7C">
        <w:rPr>
          <w:color w:val="000000"/>
          <w:lang w:val="en-US"/>
        </w:rPr>
        <w:t xml:space="preserve">were weaned at 21 days old. </w:t>
      </w:r>
      <w:r w:rsidR="00A51DFA" w:rsidRPr="00915C7C">
        <w:rPr>
          <w:color w:val="000000"/>
          <w:lang w:val="en-US"/>
        </w:rPr>
        <w:t>At 36</w:t>
      </w:r>
      <w:r w:rsidR="000120EE" w:rsidRPr="00915C7C">
        <w:rPr>
          <w:color w:val="000000"/>
          <w:lang w:val="en-US"/>
        </w:rPr>
        <w:t xml:space="preserve"> days</w:t>
      </w:r>
      <w:r w:rsidR="00A51DFA" w:rsidRPr="00915C7C">
        <w:rPr>
          <w:color w:val="000000"/>
          <w:lang w:val="en-US"/>
        </w:rPr>
        <w:t xml:space="preserve"> old</w:t>
      </w:r>
      <w:r w:rsidR="00836F24" w:rsidRPr="00915C7C">
        <w:rPr>
          <w:color w:val="000000"/>
          <w:lang w:val="en-US"/>
        </w:rPr>
        <w:t>, the animals were euthanized</w:t>
      </w:r>
      <w:r w:rsidR="000120EE" w:rsidRPr="00915C7C">
        <w:rPr>
          <w:color w:val="000000"/>
          <w:lang w:val="en-US"/>
        </w:rPr>
        <w:t xml:space="preserve">, blood samples </w:t>
      </w:r>
      <w:r w:rsidR="00B57122" w:rsidRPr="00915C7C">
        <w:rPr>
          <w:color w:val="000000"/>
          <w:lang w:val="en-US"/>
        </w:rPr>
        <w:t xml:space="preserve">were harvested </w:t>
      </w:r>
      <w:r w:rsidR="000120EE" w:rsidRPr="00915C7C">
        <w:rPr>
          <w:color w:val="000000"/>
          <w:lang w:val="en-US"/>
        </w:rPr>
        <w:t xml:space="preserve">on jugular vein, </w:t>
      </w:r>
      <w:r w:rsidR="00445E17" w:rsidRPr="00915C7C">
        <w:rPr>
          <w:color w:val="000000"/>
          <w:lang w:val="en-US"/>
        </w:rPr>
        <w:t xml:space="preserve">centrifuged at 3.000 rpm for 15 minutes in order to </w:t>
      </w:r>
      <w:r w:rsidR="00B57122" w:rsidRPr="00915C7C">
        <w:rPr>
          <w:color w:val="000000"/>
          <w:lang w:val="en-US"/>
        </w:rPr>
        <w:t>obtain</w:t>
      </w:r>
      <w:r w:rsidR="00445E17" w:rsidRPr="00915C7C">
        <w:rPr>
          <w:color w:val="000000"/>
          <w:lang w:val="en-US"/>
        </w:rPr>
        <w:t xml:space="preserve"> plasm and blood </w:t>
      </w:r>
      <w:r w:rsidR="00AF35EB" w:rsidRPr="00915C7C">
        <w:rPr>
          <w:color w:val="000000"/>
          <w:lang w:val="en-US"/>
        </w:rPr>
        <w:t>serum</w:t>
      </w:r>
      <w:r w:rsidR="00445E17" w:rsidRPr="00915C7C">
        <w:rPr>
          <w:color w:val="000000"/>
          <w:lang w:val="en-US"/>
        </w:rPr>
        <w:t xml:space="preserve"> </w:t>
      </w:r>
      <w:r w:rsidR="00836F24" w:rsidRPr="00915C7C">
        <w:rPr>
          <w:color w:val="000000"/>
          <w:lang w:val="en-US"/>
        </w:rPr>
        <w:t>t</w:t>
      </w:r>
      <w:r w:rsidR="00B57122" w:rsidRPr="00915C7C">
        <w:rPr>
          <w:color w:val="000000"/>
          <w:lang w:val="en-US"/>
        </w:rPr>
        <w:t xml:space="preserve">o determinate </w:t>
      </w:r>
      <w:r w:rsidR="00445E17" w:rsidRPr="00915C7C">
        <w:rPr>
          <w:color w:val="000000"/>
          <w:lang w:val="en-US"/>
        </w:rPr>
        <w:t xml:space="preserve">oxidative state parameters: reduced </w:t>
      </w:r>
      <w:r w:rsidR="00AF35EB" w:rsidRPr="00915C7C">
        <w:rPr>
          <w:color w:val="000000"/>
          <w:lang w:val="en-US"/>
        </w:rPr>
        <w:t>glutathione</w:t>
      </w:r>
      <w:r w:rsidR="00445E17" w:rsidRPr="00915C7C">
        <w:rPr>
          <w:color w:val="000000"/>
          <w:lang w:val="en-US"/>
        </w:rPr>
        <w:t xml:space="preserve"> (GSH), total </w:t>
      </w:r>
      <w:r w:rsidR="00AF35EB" w:rsidRPr="00915C7C">
        <w:rPr>
          <w:color w:val="000000"/>
          <w:lang w:val="en-US"/>
        </w:rPr>
        <w:t>antioxidant</w:t>
      </w:r>
      <w:r w:rsidR="00445E17" w:rsidRPr="00915C7C">
        <w:rPr>
          <w:color w:val="000000"/>
          <w:lang w:val="en-US"/>
        </w:rPr>
        <w:t xml:space="preserve"> capacity (TAC), thiols, carbonyl proteins, albumin, globulin, albumin:globulin ratio and acute phase protein profile: IgA, IgG, transferrin, ceruloplasmin, haptoglobin and </w:t>
      </w:r>
      <w:r w:rsidR="00445E17" w:rsidRPr="00915C7C">
        <w:rPr>
          <w:rFonts w:eastAsia="SimSun"/>
          <w:lang w:val="en-US"/>
        </w:rPr>
        <w:t xml:space="preserve">α1-acid glycoprotein. Also </w:t>
      </w:r>
      <w:r w:rsidR="00A51DFA" w:rsidRPr="00915C7C">
        <w:rPr>
          <w:rFonts w:eastAsia="SimSun"/>
          <w:lang w:val="en-US"/>
        </w:rPr>
        <w:t xml:space="preserve">the liver </w:t>
      </w:r>
      <w:r w:rsidR="00B57122" w:rsidRPr="00915C7C">
        <w:rPr>
          <w:rFonts w:eastAsia="SimSun"/>
          <w:lang w:val="en-US"/>
        </w:rPr>
        <w:t>was</w:t>
      </w:r>
      <w:r w:rsidR="00445E17" w:rsidRPr="00915C7C">
        <w:rPr>
          <w:rFonts w:eastAsia="SimSun"/>
          <w:lang w:val="en-US"/>
        </w:rPr>
        <w:t xml:space="preserve"> harvested</w:t>
      </w:r>
      <w:r w:rsidR="00A51DFA" w:rsidRPr="00915C7C">
        <w:rPr>
          <w:rFonts w:eastAsia="SimSun"/>
          <w:lang w:val="en-US"/>
        </w:rPr>
        <w:t xml:space="preserve"> to determinate </w:t>
      </w:r>
      <w:r w:rsidR="00445E17" w:rsidRPr="00915C7C">
        <w:rPr>
          <w:rFonts w:eastAsia="SimSun"/>
          <w:lang w:val="en-US"/>
        </w:rPr>
        <w:t xml:space="preserve">catalase and superoxide dismutase enzymatic </w:t>
      </w:r>
      <w:r w:rsidR="00AF35EB" w:rsidRPr="00915C7C">
        <w:rPr>
          <w:rFonts w:eastAsia="SimSun"/>
          <w:lang w:val="en-US"/>
        </w:rPr>
        <w:t>antioxidant</w:t>
      </w:r>
      <w:r w:rsidR="00445E17" w:rsidRPr="00915C7C">
        <w:rPr>
          <w:rFonts w:eastAsia="SimSun"/>
          <w:lang w:val="en-US"/>
        </w:rPr>
        <w:t xml:space="preserve"> activity, as well as the carbonyl protein content. </w:t>
      </w:r>
      <w:r w:rsidR="00A23530" w:rsidRPr="00915C7C">
        <w:rPr>
          <w:rFonts w:eastAsia="SimSun"/>
          <w:lang w:val="en-US"/>
        </w:rPr>
        <w:t>Although there was no difference (P&gt;0,05) between acute phase proteins, a</w:t>
      </w:r>
      <w:r w:rsidR="00445E17" w:rsidRPr="00915C7C">
        <w:rPr>
          <w:rFonts w:eastAsia="SimSun"/>
          <w:lang w:val="en-US"/>
        </w:rPr>
        <w:t xml:space="preserve">ll oxidative state variables </w:t>
      </w:r>
      <w:r w:rsidR="00AF35EB" w:rsidRPr="00915C7C">
        <w:rPr>
          <w:rFonts w:eastAsia="SimSun"/>
          <w:lang w:val="en-US"/>
        </w:rPr>
        <w:t>show</w:t>
      </w:r>
      <w:r w:rsidR="00B57122" w:rsidRPr="00915C7C">
        <w:rPr>
          <w:rFonts w:eastAsia="SimSun"/>
          <w:lang w:val="en-US"/>
        </w:rPr>
        <w:t>ed</w:t>
      </w:r>
      <w:r w:rsidR="00AF35EB" w:rsidRPr="00915C7C">
        <w:rPr>
          <w:rFonts w:eastAsia="SimSun"/>
          <w:lang w:val="en-US"/>
        </w:rPr>
        <w:t xml:space="preserve"> difference (</w:t>
      </w:r>
      <w:r w:rsidR="00B57122" w:rsidRPr="00915C7C">
        <w:rPr>
          <w:rFonts w:eastAsia="SimSun"/>
          <w:lang w:val="en-US"/>
        </w:rPr>
        <w:t>P</w:t>
      </w:r>
      <w:r w:rsidR="00AF35EB" w:rsidRPr="00915C7C">
        <w:rPr>
          <w:rFonts w:eastAsia="SimSun"/>
          <w:lang w:val="en-US"/>
        </w:rPr>
        <w:t>&lt;0,05) between treatments. The arthritis induction protocol in weaning phase was efficient for manifestation of the disease in post-weaning phase.</w:t>
      </w:r>
    </w:p>
    <w:p w:rsidR="00934AF2" w:rsidRPr="00915C7C" w:rsidRDefault="00934AF2" w:rsidP="00BF12C5">
      <w:pPr>
        <w:spacing w:after="0" w:line="360" w:lineRule="auto"/>
        <w:jc w:val="both"/>
        <w:rPr>
          <w:rFonts w:eastAsia="SimSun"/>
          <w:lang w:val="en-US"/>
        </w:rPr>
      </w:pPr>
    </w:p>
    <w:p w:rsidR="00F37FC5" w:rsidRPr="00915C7C" w:rsidRDefault="005751A3" w:rsidP="00BF12C5">
      <w:pPr>
        <w:tabs>
          <w:tab w:val="right" w:pos="8986"/>
        </w:tabs>
        <w:spacing w:after="0" w:line="360" w:lineRule="auto"/>
        <w:ind w:right="85"/>
        <w:jc w:val="both"/>
        <w:rPr>
          <w:lang w:val="en-US"/>
        </w:rPr>
      </w:pPr>
      <w:r w:rsidRPr="00915C7C">
        <w:rPr>
          <w:b/>
          <w:lang w:val="en-US"/>
        </w:rPr>
        <w:t>Keywords</w:t>
      </w:r>
      <w:bookmarkStart w:id="11" w:name="_Toc339289834"/>
      <w:r w:rsidRPr="00915C7C">
        <w:rPr>
          <w:b/>
          <w:lang w:val="en-US"/>
        </w:rPr>
        <w:t xml:space="preserve">: </w:t>
      </w:r>
      <w:r w:rsidRPr="00915C7C">
        <w:rPr>
          <w:lang w:val="en-US"/>
        </w:rPr>
        <w:t xml:space="preserve">antioxidant defense, oxidative stress, inflammation </w:t>
      </w:r>
      <w:r w:rsidR="00154F94" w:rsidRPr="00915C7C">
        <w:rPr>
          <w:lang w:val="en-US"/>
        </w:rPr>
        <w:tab/>
      </w:r>
    </w:p>
    <w:p w:rsidR="006562F2" w:rsidRPr="00915C7C" w:rsidRDefault="006562F2" w:rsidP="00BF12C5">
      <w:pPr>
        <w:pStyle w:val="Ttulo3"/>
        <w:spacing w:before="0" w:after="0" w:line="360" w:lineRule="auto"/>
        <w:rPr>
          <w:lang w:val="en-US"/>
        </w:rPr>
      </w:pPr>
    </w:p>
    <w:p w:rsidR="00C30935" w:rsidRDefault="00C30935">
      <w:pPr>
        <w:rPr>
          <w:b/>
          <w:bCs/>
          <w:color w:val="000000"/>
        </w:rPr>
      </w:pPr>
      <w:r>
        <w:br w:type="page"/>
      </w:r>
    </w:p>
    <w:p w:rsidR="00F37FC5" w:rsidRPr="00915C7C" w:rsidRDefault="005751A3" w:rsidP="00BF12C5">
      <w:pPr>
        <w:pStyle w:val="Ttulo3"/>
        <w:spacing w:before="0" w:after="0" w:line="360" w:lineRule="auto"/>
      </w:pPr>
      <w:r w:rsidRPr="00915C7C">
        <w:lastRenderedPageBreak/>
        <w:t>INTRODUÇÃO</w:t>
      </w:r>
      <w:bookmarkStart w:id="12" w:name="_Toc339289835"/>
      <w:bookmarkEnd w:id="11"/>
    </w:p>
    <w:p w:rsidR="00C30935" w:rsidRDefault="00C30935" w:rsidP="00BF12C5">
      <w:pPr>
        <w:spacing w:after="0" w:line="360" w:lineRule="auto"/>
        <w:ind w:firstLine="567"/>
        <w:jc w:val="both"/>
      </w:pPr>
    </w:p>
    <w:p w:rsidR="00873AA9" w:rsidRPr="00915C7C" w:rsidRDefault="005751A3" w:rsidP="00BF12C5">
      <w:pPr>
        <w:spacing w:after="0" w:line="360" w:lineRule="auto"/>
        <w:ind w:firstLine="567"/>
        <w:jc w:val="both"/>
      </w:pPr>
      <w:r w:rsidRPr="00915C7C">
        <w:t>Artrite é uma doença que acomete suínos</w:t>
      </w:r>
      <w:r w:rsidR="00D20F2A" w:rsidRPr="00915C7C">
        <w:t xml:space="preserve"> causando inchaço na articulação, andar claudicante, levando </w:t>
      </w:r>
      <w:r w:rsidR="00BF71FC" w:rsidRPr="00915C7C">
        <w:t>a</w:t>
      </w:r>
      <w:r w:rsidRPr="00915C7C">
        <w:t xml:space="preserve"> perdas econômicas como mortes, atraso no crescimento dos animais, descarte precoce de reprodutores, gastos com medicamentos até a condenação parcial ou total de c</w:t>
      </w:r>
      <w:r w:rsidR="0086295C" w:rsidRPr="00915C7C">
        <w:t>arcaças (</w:t>
      </w:r>
      <w:r w:rsidR="00221E4B" w:rsidRPr="00915C7C">
        <w:t>GRACIANO</w:t>
      </w:r>
      <w:r w:rsidR="006562F2" w:rsidRPr="00915C7C">
        <w:t xml:space="preserve"> </w:t>
      </w:r>
      <w:r w:rsidR="0086295C" w:rsidRPr="00915C7C">
        <w:rPr>
          <w:i/>
          <w:iCs/>
        </w:rPr>
        <w:t>et al</w:t>
      </w:r>
      <w:r w:rsidR="0086295C" w:rsidRPr="00915C7C">
        <w:t>., 2014</w:t>
      </w:r>
      <w:r w:rsidR="00D20F2A" w:rsidRPr="00915C7C">
        <w:t xml:space="preserve">; ZIMMERMAN </w:t>
      </w:r>
      <w:r w:rsidR="00D20F2A" w:rsidRPr="00915C7C">
        <w:rPr>
          <w:i/>
          <w:iCs/>
        </w:rPr>
        <w:t>et al</w:t>
      </w:r>
      <w:r w:rsidR="00D20F2A" w:rsidRPr="00915C7C">
        <w:t>., 2012</w:t>
      </w:r>
      <w:r w:rsidR="0086295C" w:rsidRPr="00915C7C">
        <w:t xml:space="preserve">). </w:t>
      </w:r>
      <w:r w:rsidRPr="00915C7C">
        <w:t xml:space="preserve">Ela pode ser causada por infecções bacterianas como </w:t>
      </w:r>
      <w:r w:rsidRPr="00915C7C">
        <w:rPr>
          <w:i/>
        </w:rPr>
        <w:t>Streptococcus suis</w:t>
      </w:r>
      <w:r w:rsidRPr="00915C7C">
        <w:t>,</w:t>
      </w:r>
      <w:r w:rsidRPr="00915C7C">
        <w:rPr>
          <w:i/>
        </w:rPr>
        <w:t xml:space="preserve"> Erysipelothrix rhusiopathiae</w:t>
      </w:r>
      <w:r w:rsidRPr="00915C7C">
        <w:t xml:space="preserve">, </w:t>
      </w:r>
      <w:r w:rsidRPr="00915C7C">
        <w:rPr>
          <w:i/>
        </w:rPr>
        <w:t>Mycoplasma hyosynoviae</w:t>
      </w:r>
      <w:r w:rsidRPr="00915C7C">
        <w:t xml:space="preserve">, </w:t>
      </w:r>
      <w:r w:rsidRPr="00915C7C">
        <w:rPr>
          <w:i/>
        </w:rPr>
        <w:t>M</w:t>
      </w:r>
      <w:r w:rsidRPr="00915C7C">
        <w:t xml:space="preserve">. </w:t>
      </w:r>
      <w:r w:rsidRPr="00915C7C">
        <w:rPr>
          <w:i/>
        </w:rPr>
        <w:t>hyorhinis</w:t>
      </w:r>
      <w:r w:rsidRPr="00915C7C">
        <w:t xml:space="preserve">, </w:t>
      </w:r>
      <w:r w:rsidRPr="00915C7C">
        <w:rPr>
          <w:i/>
        </w:rPr>
        <w:t xml:space="preserve">Trueperella </w:t>
      </w:r>
      <w:r w:rsidRPr="00915C7C">
        <w:t>(</w:t>
      </w:r>
      <w:r w:rsidRPr="00915C7C">
        <w:rPr>
          <w:i/>
        </w:rPr>
        <w:t>Arcanobacterium</w:t>
      </w:r>
      <w:r w:rsidRPr="00915C7C">
        <w:t>)</w:t>
      </w:r>
      <w:r w:rsidRPr="00915C7C">
        <w:rPr>
          <w:i/>
        </w:rPr>
        <w:t xml:space="preserve"> pyogenes</w:t>
      </w:r>
      <w:r w:rsidRPr="00915C7C">
        <w:t>,</w:t>
      </w:r>
      <w:r w:rsidR="008A4599" w:rsidRPr="00915C7C">
        <w:t xml:space="preserve"> </w:t>
      </w:r>
      <w:r w:rsidR="008A4599" w:rsidRPr="00915C7C">
        <w:rPr>
          <w:i/>
          <w:iCs/>
        </w:rPr>
        <w:t>Mycobacterium tuberculosis</w:t>
      </w:r>
      <w:r w:rsidRPr="00915C7C">
        <w:t xml:space="preserve"> entre outras</w:t>
      </w:r>
      <w:r w:rsidR="004D4FB9" w:rsidRPr="00915C7C">
        <w:t>,</w:t>
      </w:r>
      <w:r w:rsidRPr="00915C7C">
        <w:t xml:space="preserve"> conhecidas </w:t>
      </w:r>
      <w:r w:rsidR="00F60666" w:rsidRPr="00915C7C">
        <w:t>como</w:t>
      </w:r>
      <w:r w:rsidR="0091521D" w:rsidRPr="00915C7C">
        <w:t xml:space="preserve"> </w:t>
      </w:r>
      <w:r w:rsidRPr="00915C7C">
        <w:t xml:space="preserve">bactérias oportunistas ou invasoras secundárias, </w:t>
      </w:r>
      <w:r w:rsidR="004D4FB9" w:rsidRPr="00915C7C">
        <w:t>aparecendo</w:t>
      </w:r>
      <w:r w:rsidRPr="00915C7C">
        <w:t xml:space="preserve"> quando o </w:t>
      </w:r>
      <w:r w:rsidR="004D4FB9" w:rsidRPr="00915C7C">
        <w:t>animal</w:t>
      </w:r>
      <w:r w:rsidRPr="00915C7C">
        <w:t xml:space="preserve"> sofre uma lesão que se torna porta de entrada para </w:t>
      </w:r>
      <w:r w:rsidR="00F60666" w:rsidRPr="00915C7C">
        <w:t>os</w:t>
      </w:r>
      <w:r w:rsidRPr="00915C7C">
        <w:t xml:space="preserve"> microrganismos</w:t>
      </w:r>
      <w:r w:rsidR="00BF71FC" w:rsidRPr="00915C7C">
        <w:t xml:space="preserve"> (ZIMMERMAN </w:t>
      </w:r>
      <w:r w:rsidR="00BF71FC" w:rsidRPr="00915C7C">
        <w:rPr>
          <w:i/>
          <w:iCs/>
        </w:rPr>
        <w:t>et al</w:t>
      </w:r>
      <w:r w:rsidR="00BF71FC" w:rsidRPr="00915C7C">
        <w:t>., 2012).</w:t>
      </w:r>
    </w:p>
    <w:p w:rsidR="00F37FC5" w:rsidRPr="00915C7C" w:rsidRDefault="00873AA9" w:rsidP="00BF12C5">
      <w:pPr>
        <w:spacing w:after="0" w:line="360" w:lineRule="auto"/>
        <w:ind w:firstLine="567"/>
        <w:jc w:val="both"/>
      </w:pPr>
      <w:r w:rsidRPr="00915C7C">
        <w:t>De acordo com</w:t>
      </w:r>
      <w:r w:rsidR="003E17AC" w:rsidRPr="00915C7C">
        <w:t xml:space="preserve"> a microbiologia e imunologia envolvida, a</w:t>
      </w:r>
      <w:r w:rsidR="005751A3" w:rsidRPr="00915C7C">
        <w:t xml:space="preserve"> artrite infecciosa leva a uma resposta imunológica de produção e mobilização de linfócitos, macrófagos, fibroblastos e principalmente citocinas pró-inflamatórias. Ess</w:t>
      </w:r>
      <w:r w:rsidR="00F25848" w:rsidRPr="00915C7C">
        <w:t>as citocinas são produtos gerado</w:t>
      </w:r>
      <w:r w:rsidR="005751A3" w:rsidRPr="00915C7C">
        <w:t xml:space="preserve">s </w:t>
      </w:r>
      <w:r w:rsidR="004D4FB9" w:rsidRPr="00915C7C">
        <w:t>por</w:t>
      </w:r>
      <w:r w:rsidR="005751A3" w:rsidRPr="00915C7C">
        <w:t xml:space="preserve"> diversas células </w:t>
      </w:r>
      <w:r w:rsidR="004D4FB9" w:rsidRPr="00915C7C">
        <w:t>n</w:t>
      </w:r>
      <w:r w:rsidR="005751A3" w:rsidRPr="00915C7C">
        <w:t>o local</w:t>
      </w:r>
      <w:r w:rsidR="00582409" w:rsidRPr="00915C7C">
        <w:t xml:space="preserve"> </w:t>
      </w:r>
      <w:r w:rsidR="004D4FB9" w:rsidRPr="00915C7C">
        <w:t xml:space="preserve">de infecção e </w:t>
      </w:r>
      <w:r w:rsidR="00327938" w:rsidRPr="00915C7C">
        <w:t>tem função de influenciar na atividade, diferenciação, sobrevivência das células imunes</w:t>
      </w:r>
      <w:r w:rsidR="005751A3" w:rsidRPr="00915C7C">
        <w:t xml:space="preserve">, </w:t>
      </w:r>
      <w:r w:rsidR="00327938" w:rsidRPr="00915C7C">
        <w:t>e regular a produção de outras citocinas. A</w:t>
      </w:r>
      <w:r w:rsidR="005751A3" w:rsidRPr="00915C7C">
        <w:t>tuam de forma parácrina</w:t>
      </w:r>
      <w:r w:rsidR="00582409" w:rsidRPr="00915C7C">
        <w:t xml:space="preserve"> </w:t>
      </w:r>
      <w:r w:rsidR="005751A3" w:rsidRPr="00915C7C">
        <w:t>e autócrina</w:t>
      </w:r>
      <w:r w:rsidR="00582409" w:rsidRPr="00915C7C">
        <w:t xml:space="preserve">, </w:t>
      </w:r>
      <w:r w:rsidR="00F25848" w:rsidRPr="00915C7C">
        <w:t>são</w:t>
      </w:r>
      <w:r w:rsidR="005751A3" w:rsidRPr="00915C7C">
        <w:t xml:space="preserve"> produzida</w:t>
      </w:r>
      <w:r w:rsidR="00F25848" w:rsidRPr="00915C7C">
        <w:t>s</w:t>
      </w:r>
      <w:r w:rsidR="00582409" w:rsidRPr="00915C7C">
        <w:t xml:space="preserve"> </w:t>
      </w:r>
      <w:r w:rsidR="00F25848" w:rsidRPr="00915C7C">
        <w:t xml:space="preserve">e atuam </w:t>
      </w:r>
      <w:r w:rsidR="00327938" w:rsidRPr="00915C7C">
        <w:t xml:space="preserve">por </w:t>
      </w:r>
      <w:r w:rsidR="00F25848" w:rsidRPr="00915C7C">
        <w:t>efeito</w:t>
      </w:r>
      <w:r w:rsidR="005751A3" w:rsidRPr="00915C7C">
        <w:t xml:space="preserve"> cascata, </w:t>
      </w:r>
      <w:r w:rsidR="004D4FB9" w:rsidRPr="00915C7C">
        <w:t>influenciando</w:t>
      </w:r>
      <w:r w:rsidR="005751A3" w:rsidRPr="00915C7C">
        <w:t xml:space="preserve"> na produção de mais citocinas. Essas substâncias ativam mensageiros intracelulares que r</w:t>
      </w:r>
      <w:r w:rsidR="00327938" w:rsidRPr="00915C7C">
        <w:t>egulam</w:t>
      </w:r>
      <w:r w:rsidR="005751A3" w:rsidRPr="00915C7C">
        <w:t xml:space="preserve"> a transcrição gênica, </w:t>
      </w:r>
      <w:r w:rsidR="00F25848" w:rsidRPr="00915C7C">
        <w:t>atuando sob</w:t>
      </w:r>
      <w:r w:rsidRPr="00915C7C">
        <w:t>re</w:t>
      </w:r>
      <w:r w:rsidR="00EF0BB6" w:rsidRPr="00915C7C">
        <w:t xml:space="preserve"> a produção e a resposta </w:t>
      </w:r>
      <w:r w:rsidR="005751A3" w:rsidRPr="00915C7C">
        <w:t>d</w:t>
      </w:r>
      <w:r w:rsidR="00850C6F" w:rsidRPr="00915C7C">
        <w:t>as</w:t>
      </w:r>
      <w:r w:rsidR="005751A3" w:rsidRPr="00915C7C">
        <w:t xml:space="preserve"> citocinas. Dentre </w:t>
      </w:r>
      <w:r w:rsidR="00850C6F" w:rsidRPr="00915C7C">
        <w:t>as</w:t>
      </w:r>
      <w:r w:rsidR="005751A3" w:rsidRPr="00915C7C">
        <w:t xml:space="preserve"> cito</w:t>
      </w:r>
      <w:r w:rsidR="00327938" w:rsidRPr="00915C7C">
        <w:t>cinas pró-inflamatórias, pode</w:t>
      </w:r>
      <w:r w:rsidR="00850C6F" w:rsidRPr="00915C7C">
        <w:t>-se</w:t>
      </w:r>
      <w:r w:rsidRPr="00915C7C">
        <w:t xml:space="preserve"> destaca</w:t>
      </w:r>
      <w:r w:rsidR="00850C6F" w:rsidRPr="00915C7C">
        <w:t xml:space="preserve">r </w:t>
      </w:r>
      <w:r w:rsidR="005751A3" w:rsidRPr="00915C7C">
        <w:t xml:space="preserve">as interleucinas-1 (IL-1), IL-2, IL-6, IL-7 e fator de </w:t>
      </w:r>
      <w:r w:rsidR="00327938" w:rsidRPr="00915C7C">
        <w:t>necrose tumoral</w:t>
      </w:r>
      <w:r w:rsidR="00413E10" w:rsidRPr="00915C7C">
        <w:t xml:space="preserve"> (FNT</w:t>
      </w:r>
      <w:r w:rsidR="00327938" w:rsidRPr="00915C7C">
        <w:t>)</w:t>
      </w:r>
      <w:r w:rsidR="00850C6F" w:rsidRPr="00915C7C">
        <w:t xml:space="preserve">. </w:t>
      </w:r>
      <w:r w:rsidR="00413E10" w:rsidRPr="00915C7C">
        <w:t>Elas têm</w:t>
      </w:r>
      <w:r w:rsidR="00327938" w:rsidRPr="00915C7C">
        <w:t xml:space="preserve"> como função estimular os </w:t>
      </w:r>
      <w:r w:rsidR="005751A3" w:rsidRPr="00915C7C">
        <w:t>neutrófilos e</w:t>
      </w:r>
      <w:r w:rsidR="00CA0420" w:rsidRPr="00915C7C">
        <w:t xml:space="preserve"> macrófagos a secretarem espécie</w:t>
      </w:r>
      <w:r w:rsidR="005751A3" w:rsidRPr="00915C7C">
        <w:t>s reativas de oxigênio (ERO) no líquido sinovial da articulação, para agirem como moderador</w:t>
      </w:r>
      <w:r w:rsidR="00327938" w:rsidRPr="00915C7C">
        <w:t>es</w:t>
      </w:r>
      <w:r w:rsidR="005751A3" w:rsidRPr="00915C7C">
        <w:t xml:space="preserve"> da lesão tecidual</w:t>
      </w:r>
      <w:r w:rsidR="006562F2" w:rsidRPr="00915C7C">
        <w:t xml:space="preserve"> </w:t>
      </w:r>
      <w:r w:rsidR="005751A3" w:rsidRPr="00915C7C">
        <w:t>(</w:t>
      </w:r>
      <w:r w:rsidR="00221E4B" w:rsidRPr="00915C7C">
        <w:t xml:space="preserve">COMAR </w:t>
      </w:r>
      <w:r w:rsidR="00221E4B" w:rsidRPr="00915C7C">
        <w:rPr>
          <w:i/>
          <w:iCs/>
        </w:rPr>
        <w:t>et al</w:t>
      </w:r>
      <w:r w:rsidR="00221E4B" w:rsidRPr="00915C7C">
        <w:t>., 2013; OLIVEIRA</w:t>
      </w:r>
      <w:r w:rsidR="006562F2" w:rsidRPr="00915C7C">
        <w:t xml:space="preserve"> </w:t>
      </w:r>
      <w:r w:rsidR="005751A3" w:rsidRPr="00915C7C">
        <w:rPr>
          <w:i/>
          <w:iCs/>
        </w:rPr>
        <w:t>et al</w:t>
      </w:r>
      <w:r w:rsidR="005751A3" w:rsidRPr="00915C7C">
        <w:t>., 2011).</w:t>
      </w:r>
    </w:p>
    <w:p w:rsidR="00F37FC5" w:rsidRPr="00915C7C" w:rsidRDefault="005751A3" w:rsidP="00BF12C5">
      <w:pPr>
        <w:spacing w:after="0" w:line="360" w:lineRule="auto"/>
        <w:ind w:firstLine="567"/>
        <w:jc w:val="both"/>
      </w:pPr>
      <w:r w:rsidRPr="00915C7C">
        <w:t xml:space="preserve">As ERO são encontradas </w:t>
      </w:r>
      <w:r w:rsidR="00C119D3" w:rsidRPr="00915C7C">
        <w:t>no</w:t>
      </w:r>
      <w:r w:rsidRPr="00915C7C">
        <w:t xml:space="preserve"> metabolismo aeróbio</w:t>
      </w:r>
      <w:r w:rsidR="00CA0420" w:rsidRPr="00915C7C">
        <w:t xml:space="preserve"> incompleto, no qual</w:t>
      </w:r>
      <w:r w:rsidRPr="00915C7C">
        <w:t xml:space="preserve"> o </w:t>
      </w:r>
      <w:r w:rsidR="00221E4B" w:rsidRPr="00915C7C">
        <w:t xml:space="preserve">oxigênio molecular </w:t>
      </w:r>
      <w:r w:rsidR="00CA0420" w:rsidRPr="00915C7C">
        <w:t>(</w:t>
      </w:r>
      <w:r w:rsidR="00221E4B" w:rsidRPr="00915C7C">
        <w:t>O</w:t>
      </w:r>
      <w:r w:rsidR="00221E4B" w:rsidRPr="00915C7C">
        <w:rPr>
          <w:vertAlign w:val="subscript"/>
        </w:rPr>
        <w:t>2</w:t>
      </w:r>
      <w:r w:rsidR="00CA0420" w:rsidRPr="00915C7C">
        <w:t>) sofre</w:t>
      </w:r>
      <w:r w:rsidRPr="00915C7C">
        <w:t xml:space="preserve"> redução</w:t>
      </w:r>
      <w:r w:rsidR="006562F2" w:rsidRPr="00915C7C">
        <w:t xml:space="preserve"> </w:t>
      </w:r>
      <w:r w:rsidRPr="00915C7C">
        <w:t xml:space="preserve">de forma incompleta, </w:t>
      </w:r>
      <w:r w:rsidR="00413E10" w:rsidRPr="00915C7C">
        <w:t>formando</w:t>
      </w:r>
      <w:r w:rsidRPr="00915C7C">
        <w:t xml:space="preserve"> intermediários reativos, como superóxido</w:t>
      </w:r>
      <w:r w:rsidR="00873AA9" w:rsidRPr="00915C7C">
        <w:t xml:space="preserve"> (O</w:t>
      </w:r>
      <w:r w:rsidR="00873AA9" w:rsidRPr="00915C7C">
        <w:rPr>
          <w:vertAlign w:val="subscript"/>
        </w:rPr>
        <w:t>2</w:t>
      </w:r>
      <w:r w:rsidR="00873AA9" w:rsidRPr="00915C7C">
        <w:rPr>
          <w:vertAlign w:val="superscript"/>
        </w:rPr>
        <w:t>-</w:t>
      </w:r>
      <w:r w:rsidR="00873AA9" w:rsidRPr="00915C7C">
        <w:t>)</w:t>
      </w:r>
      <w:r w:rsidRPr="00915C7C">
        <w:t>, hidroperoxila (HO</w:t>
      </w:r>
      <w:r w:rsidRPr="00915C7C">
        <w:rPr>
          <w:vertAlign w:val="subscript"/>
        </w:rPr>
        <w:t>2</w:t>
      </w:r>
      <w:r w:rsidRPr="00915C7C">
        <w:t>), hidroxila (OH</w:t>
      </w:r>
      <w:r w:rsidRPr="00915C7C">
        <w:rPr>
          <w:vertAlign w:val="superscript"/>
        </w:rPr>
        <w:t>-</w:t>
      </w:r>
      <w:r w:rsidRPr="00915C7C">
        <w:t>) e peróxido de hidrogênio (H</w:t>
      </w:r>
      <w:r w:rsidRPr="00915C7C">
        <w:rPr>
          <w:vertAlign w:val="subscript"/>
        </w:rPr>
        <w:t>2</w:t>
      </w:r>
      <w:r w:rsidRPr="00915C7C">
        <w:t>O</w:t>
      </w:r>
      <w:r w:rsidRPr="00915C7C">
        <w:rPr>
          <w:vertAlign w:val="subscript"/>
        </w:rPr>
        <w:t>2</w:t>
      </w:r>
      <w:r w:rsidRPr="00915C7C">
        <w:t xml:space="preserve">). </w:t>
      </w:r>
      <w:r w:rsidR="00C119D3" w:rsidRPr="00915C7C">
        <w:t>As ERO estão em equilíbrio com os agentes antioxidantes, porém durante um quadro de infecção, ocorre uma produção excessiva de ERO que agem sobre as próprias células do organismo (</w:t>
      </w:r>
      <w:r w:rsidR="00BF71FC" w:rsidRPr="00915C7C">
        <w:t xml:space="preserve">ANDRADE </w:t>
      </w:r>
      <w:r w:rsidR="00BF71FC" w:rsidRPr="00915C7C">
        <w:rPr>
          <w:i/>
          <w:iCs/>
        </w:rPr>
        <w:t>et al</w:t>
      </w:r>
      <w:r w:rsidR="00BF71FC" w:rsidRPr="00915C7C">
        <w:t xml:space="preserve">., 2010; </w:t>
      </w:r>
      <w:r w:rsidR="00221E4B" w:rsidRPr="00915C7C">
        <w:t>VASCONCELOS</w:t>
      </w:r>
      <w:r w:rsidR="006562F2" w:rsidRPr="00915C7C">
        <w:t xml:space="preserve"> </w:t>
      </w:r>
      <w:r w:rsidRPr="00915C7C">
        <w:rPr>
          <w:i/>
          <w:iCs/>
        </w:rPr>
        <w:t>et al</w:t>
      </w:r>
      <w:r w:rsidRPr="00915C7C">
        <w:t>., 2007).</w:t>
      </w:r>
    </w:p>
    <w:p w:rsidR="00F37FC5" w:rsidRDefault="005751A3" w:rsidP="00BF12C5">
      <w:pPr>
        <w:spacing w:after="0" w:line="360" w:lineRule="auto"/>
        <w:ind w:firstLine="567"/>
        <w:jc w:val="both"/>
      </w:pPr>
      <w:r w:rsidRPr="00915C7C">
        <w:t xml:space="preserve">De maneira geral, a atuação do sistema antioxidante é </w:t>
      </w:r>
      <w:r w:rsidR="003F6D53" w:rsidRPr="00915C7C">
        <w:t>classificada</w:t>
      </w:r>
      <w:r w:rsidRPr="00915C7C">
        <w:t xml:space="preserve"> como enzimático e não </w:t>
      </w:r>
      <w:r w:rsidR="003F6D53" w:rsidRPr="00915C7C">
        <w:t>enzimático</w:t>
      </w:r>
      <w:r w:rsidRPr="00915C7C">
        <w:t>. O enzimático é representado pelas enzimas antioxidantes como a superóxido dismutase (SOD), a catalase e a glutationa peroxidase (GPx) que atua</w:t>
      </w:r>
      <w:r w:rsidR="008F0A7D" w:rsidRPr="00915C7C">
        <w:t>m</w:t>
      </w:r>
      <w:r w:rsidRPr="00915C7C">
        <w:t xml:space="preserve"> com a utilização da glutationa reduzida (GSH) como </w:t>
      </w:r>
      <w:r w:rsidR="003F6D53" w:rsidRPr="00915C7C">
        <w:t>cofator</w:t>
      </w:r>
      <w:r w:rsidR="00934AF2">
        <w:t>, conforme Figura 1</w:t>
      </w:r>
      <w:r w:rsidR="006562F2" w:rsidRPr="00915C7C">
        <w:t xml:space="preserve"> </w:t>
      </w:r>
      <w:r w:rsidRPr="00915C7C">
        <w:t>(</w:t>
      </w:r>
      <w:r w:rsidR="00221E4B" w:rsidRPr="00915C7C">
        <w:t>VASCONCELOS</w:t>
      </w:r>
      <w:r w:rsidR="006562F2" w:rsidRPr="00915C7C">
        <w:t xml:space="preserve"> </w:t>
      </w:r>
      <w:r w:rsidRPr="00915C7C">
        <w:rPr>
          <w:i/>
          <w:iCs/>
        </w:rPr>
        <w:t>et al</w:t>
      </w:r>
      <w:r w:rsidRPr="00915C7C">
        <w:t>., 2007).</w:t>
      </w:r>
    </w:p>
    <w:p w:rsidR="00934AF2" w:rsidRPr="00915C7C" w:rsidRDefault="00934AF2" w:rsidP="00BF12C5">
      <w:pPr>
        <w:pStyle w:val="Recuodecorpodetexto"/>
        <w:tabs>
          <w:tab w:val="left" w:pos="142"/>
        </w:tabs>
        <w:spacing w:after="0" w:line="360" w:lineRule="auto"/>
        <w:ind w:right="-171" w:hanging="993"/>
        <w:jc w:val="center"/>
        <w:rPr>
          <w:b/>
          <w:color w:val="0D0D0D"/>
        </w:rPr>
      </w:pPr>
      <w:r w:rsidRPr="00915C7C">
        <w:rPr>
          <w:noProof/>
          <w:lang w:val="pt-BR" w:eastAsia="pt-BR"/>
        </w:rPr>
        <w:lastRenderedPageBreak/>
        <w:drawing>
          <wp:inline distT="0" distB="0" distL="0" distR="0" wp14:anchorId="421D6957" wp14:editId="7D5EFCE7">
            <wp:extent cx="3657600" cy="149174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tema antioxidante enzimatico - adaptado kalpakcioglu e se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7533" cy="1532504"/>
                    </a:xfrm>
                    <a:prstGeom prst="rect">
                      <a:avLst/>
                    </a:prstGeom>
                  </pic:spPr>
                </pic:pic>
              </a:graphicData>
            </a:graphic>
          </wp:inline>
        </w:drawing>
      </w:r>
    </w:p>
    <w:p w:rsidR="00934AF2" w:rsidRPr="00915C7C" w:rsidRDefault="00934AF2" w:rsidP="00C30935">
      <w:pPr>
        <w:pStyle w:val="Recuodecorpodetexto"/>
        <w:tabs>
          <w:tab w:val="left" w:pos="142"/>
        </w:tabs>
        <w:spacing w:after="0" w:line="360" w:lineRule="auto"/>
        <w:ind w:right="-1"/>
        <w:jc w:val="both"/>
        <w:rPr>
          <w:color w:val="0D0D0D"/>
          <w:lang w:val="pt-BR"/>
        </w:rPr>
      </w:pPr>
      <w:r w:rsidRPr="00915C7C">
        <w:rPr>
          <w:b/>
          <w:color w:val="0D0D0D"/>
          <w:lang w:val="pt-BR"/>
        </w:rPr>
        <w:t xml:space="preserve">Figura </w:t>
      </w:r>
      <w:r>
        <w:rPr>
          <w:b/>
          <w:color w:val="0D0D0D"/>
          <w:lang w:val="pt-BR"/>
        </w:rPr>
        <w:t>1</w:t>
      </w:r>
      <w:r w:rsidRPr="00915C7C">
        <w:rPr>
          <w:b/>
          <w:color w:val="0D0D0D"/>
          <w:lang w:val="pt-BR"/>
        </w:rPr>
        <w:t xml:space="preserve">. </w:t>
      </w:r>
      <w:r w:rsidRPr="00915C7C">
        <w:rPr>
          <w:color w:val="0D0D0D"/>
          <w:lang w:val="pt-BR"/>
        </w:rPr>
        <w:t xml:space="preserve"> Esquematização simplificada da ação do sistema antioxidante enzimático</w:t>
      </w:r>
      <w:r>
        <w:rPr>
          <w:color w:val="0D0D0D"/>
          <w:lang w:val="pt-BR"/>
        </w:rPr>
        <w:t xml:space="preserve"> (Adaptado de Vasconcelos </w:t>
      </w:r>
      <w:r w:rsidRPr="00934AF2">
        <w:rPr>
          <w:i/>
          <w:iCs/>
          <w:color w:val="0D0D0D"/>
          <w:lang w:val="pt-BR"/>
        </w:rPr>
        <w:t>et al.</w:t>
      </w:r>
      <w:r>
        <w:rPr>
          <w:color w:val="0D0D0D"/>
          <w:lang w:val="pt-BR"/>
        </w:rPr>
        <w:t>, 2007)</w:t>
      </w:r>
      <w:r w:rsidRPr="00915C7C">
        <w:rPr>
          <w:color w:val="0D0D0D"/>
          <w:lang w:val="pt-BR"/>
        </w:rPr>
        <w:t>.</w:t>
      </w:r>
    </w:p>
    <w:p w:rsidR="00C30935" w:rsidRDefault="00C30935" w:rsidP="00BF12C5">
      <w:pPr>
        <w:spacing w:after="0" w:line="360" w:lineRule="auto"/>
        <w:ind w:firstLine="567"/>
        <w:jc w:val="both"/>
      </w:pPr>
    </w:p>
    <w:p w:rsidR="00413E10" w:rsidRPr="00915C7C" w:rsidRDefault="005751A3" w:rsidP="00BF12C5">
      <w:pPr>
        <w:spacing w:after="0" w:line="360" w:lineRule="auto"/>
        <w:ind w:firstLine="567"/>
        <w:jc w:val="both"/>
      </w:pPr>
      <w:r w:rsidRPr="00915C7C">
        <w:t xml:space="preserve">Além do sistema antioxidante, há </w:t>
      </w:r>
      <w:r w:rsidR="00D935D4" w:rsidRPr="00915C7C">
        <w:t xml:space="preserve">também </w:t>
      </w:r>
      <w:r w:rsidRPr="00915C7C">
        <w:t>a atu</w:t>
      </w:r>
      <w:r w:rsidR="00D935D4" w:rsidRPr="00915C7C">
        <w:t>ação do sistema imunológico no fígado, que será acionado no processo de inflamação. O funcionamento se d</w:t>
      </w:r>
      <w:r w:rsidRPr="00915C7C">
        <w:t>á</w:t>
      </w:r>
      <w:r w:rsidR="00D935D4" w:rsidRPr="00915C7C">
        <w:t xml:space="preserve"> pelo</w:t>
      </w:r>
      <w:r w:rsidRPr="00915C7C">
        <w:t xml:space="preserve"> um aumento </w:t>
      </w:r>
      <w:r w:rsidR="00D935D4" w:rsidRPr="00915C7C">
        <w:t>ou diminuição d</w:t>
      </w:r>
      <w:r w:rsidRPr="00915C7C">
        <w:t xml:space="preserve">a concentração sérica de proteínas de fase aguda (PFA) devido a um dano tecidual. </w:t>
      </w:r>
      <w:r w:rsidR="002C7F28" w:rsidRPr="00915C7C">
        <w:t>Ao correlacionar</w:t>
      </w:r>
      <w:r w:rsidRPr="00915C7C">
        <w:t xml:space="preserve"> com outros métodos de avaliação, pode-se monitorar e confirmar a presença de infecções e atividade inflamatória (</w:t>
      </w:r>
      <w:r w:rsidR="00221E4B" w:rsidRPr="00915C7C">
        <w:t>CRAY</w:t>
      </w:r>
      <w:r w:rsidR="00226E7A" w:rsidRPr="00915C7C">
        <w:t>; ZAIAS; ALTMAN</w:t>
      </w:r>
      <w:r w:rsidR="00221E4B" w:rsidRPr="00915C7C">
        <w:t>, 2009; NETO; CARVALHO</w:t>
      </w:r>
      <w:r w:rsidRPr="00915C7C">
        <w:t>, 2009).</w:t>
      </w:r>
      <w:r w:rsidR="009B7A28" w:rsidRPr="00915C7C">
        <w:t xml:space="preserve"> Um dos danos causados pelo estresse oxidativo é a oxidação de proteínas induzidas pelas ERO através de diversos mecanismos, formando as proteínas carboniladas (VASCONCELOS </w:t>
      </w:r>
      <w:r w:rsidR="009B7A28" w:rsidRPr="00915C7C">
        <w:rPr>
          <w:i/>
          <w:iCs/>
        </w:rPr>
        <w:t>et al</w:t>
      </w:r>
      <w:r w:rsidR="009B7A28" w:rsidRPr="00915C7C">
        <w:t>., 2007).</w:t>
      </w:r>
      <w:r w:rsidR="00AF7986" w:rsidRPr="00915C7C">
        <w:t xml:space="preserve"> Há também o grupamento tiol, que em conjunto com pequenas moléculas, em especial cisteína que atua reduzindo as ERO através de um sistema cisteína/cistina (MCBEAN, 2017)</w:t>
      </w:r>
    </w:p>
    <w:p w:rsidR="00F37FC5" w:rsidRDefault="00FE461D" w:rsidP="00BF12C5">
      <w:pPr>
        <w:spacing w:after="0" w:line="360" w:lineRule="auto"/>
        <w:ind w:firstLine="567"/>
        <w:jc w:val="both"/>
      </w:pPr>
      <w:r w:rsidRPr="00915C7C">
        <w:t>O</w:t>
      </w:r>
      <w:r w:rsidR="005751A3" w:rsidRPr="00915C7C">
        <w:t xml:space="preserve"> presente </w:t>
      </w:r>
      <w:r w:rsidRPr="00915C7C">
        <w:t>estudo</w:t>
      </w:r>
      <w:r w:rsidR="005751A3" w:rsidRPr="00915C7C">
        <w:t xml:space="preserve"> foi realizado com objetivo de avaliar o estado oxidativo no plasma</w:t>
      </w:r>
      <w:r w:rsidRPr="00915C7C">
        <w:t xml:space="preserve"> e f</w:t>
      </w:r>
      <w:r w:rsidR="005751A3" w:rsidRPr="00915C7C">
        <w:t xml:space="preserve">ígado e </w:t>
      </w:r>
      <w:r w:rsidRPr="00915C7C">
        <w:t xml:space="preserve">a </w:t>
      </w:r>
      <w:r w:rsidR="005751A3" w:rsidRPr="00915C7C">
        <w:t>resposta das proteínas de fase aguda do soro sanguín</w:t>
      </w:r>
      <w:r w:rsidR="003F6D53" w:rsidRPr="00915C7C">
        <w:t>eo de leitões</w:t>
      </w:r>
      <w:r w:rsidR="00E676B6" w:rsidRPr="00915C7C">
        <w:t xml:space="preserve"> lactentes</w:t>
      </w:r>
      <w:r w:rsidR="003F6D53" w:rsidRPr="00915C7C">
        <w:t xml:space="preserve"> </w:t>
      </w:r>
      <w:r w:rsidR="005751A3" w:rsidRPr="00915C7C">
        <w:t>com artrite induzida com adjuvante, a</w:t>
      </w:r>
      <w:r w:rsidR="006562F2" w:rsidRPr="00915C7C">
        <w:t xml:space="preserve"> </w:t>
      </w:r>
      <w:r w:rsidR="005751A3" w:rsidRPr="00915C7C">
        <w:t>fim de atestar a efetividade do protocolo</w:t>
      </w:r>
      <w:r w:rsidRPr="00915C7C">
        <w:t xml:space="preserve"> de indução de artrite por adjuvante.</w:t>
      </w:r>
    </w:p>
    <w:p w:rsidR="00934AF2" w:rsidRPr="00915C7C" w:rsidRDefault="00934AF2" w:rsidP="00BF12C5">
      <w:pPr>
        <w:spacing w:after="0" w:line="360" w:lineRule="auto"/>
        <w:ind w:firstLine="567"/>
        <w:jc w:val="both"/>
      </w:pPr>
    </w:p>
    <w:p w:rsidR="00F37FC5" w:rsidRDefault="005751A3" w:rsidP="00BF12C5">
      <w:pPr>
        <w:pStyle w:val="Ttulo3"/>
        <w:spacing w:before="0" w:after="0" w:line="360" w:lineRule="auto"/>
      </w:pPr>
      <w:r w:rsidRPr="00915C7C">
        <w:t>MATERIAL E MÉTODOS</w:t>
      </w:r>
      <w:bookmarkEnd w:id="12"/>
    </w:p>
    <w:p w:rsidR="00C30935" w:rsidRPr="00C30935" w:rsidRDefault="00C30935" w:rsidP="00C30935"/>
    <w:p w:rsidR="00F37FC5" w:rsidRPr="00915C7C" w:rsidRDefault="005751A3" w:rsidP="00BF12C5">
      <w:pPr>
        <w:spacing w:after="0" w:line="360" w:lineRule="auto"/>
        <w:ind w:firstLine="567"/>
        <w:jc w:val="both"/>
      </w:pPr>
      <w:r w:rsidRPr="00915C7C">
        <w:rPr>
          <w:color w:val="000000"/>
        </w:rPr>
        <w:t xml:space="preserve">O experimento foi realizado </w:t>
      </w:r>
      <w:r w:rsidRPr="00915C7C">
        <w:rPr>
          <w:bCs/>
          <w:color w:val="000000"/>
        </w:rPr>
        <w:t xml:space="preserve">no Setor de Suinocultura da </w:t>
      </w:r>
      <w:r w:rsidRPr="00915C7C">
        <w:rPr>
          <w:color w:val="000000"/>
        </w:rPr>
        <w:t xml:space="preserve">Fazenda Experimental de Iguatemi (FEI), pertencente ao Centro de Ciências Agrárias </w:t>
      </w:r>
      <w:r w:rsidRPr="00915C7C">
        <w:rPr>
          <w:bCs/>
          <w:color w:val="000000"/>
        </w:rPr>
        <w:t xml:space="preserve">da Universidade Estadual de Maringá (CCA/UEM), localizada no </w:t>
      </w:r>
      <w:r w:rsidRPr="00915C7C">
        <w:rPr>
          <w:color w:val="000000"/>
        </w:rPr>
        <w:t xml:space="preserve">Estado do Paraná (23°21’S, 52°04’W e altitude de 564m). </w:t>
      </w:r>
      <w:r w:rsidRPr="00915C7C">
        <w:t>Todos os procedimentos experimentais foram previamente submetidos à apreciação do Comitê de Conduta Ética no Uso de Animais em Experimentação (CEUA/UEM), tendo sido aprovados para execução (Parecer nº 2086220217).</w:t>
      </w:r>
    </w:p>
    <w:p w:rsidR="00F37FC5" w:rsidRPr="00915C7C" w:rsidRDefault="005751A3" w:rsidP="00BF12C5">
      <w:pPr>
        <w:spacing w:after="0" w:line="360" w:lineRule="auto"/>
        <w:ind w:firstLine="567"/>
        <w:jc w:val="both"/>
      </w:pPr>
      <w:r w:rsidRPr="00915C7C">
        <w:lastRenderedPageBreak/>
        <w:t>Foram utilizadas 32</w:t>
      </w:r>
      <w:r w:rsidRPr="00915C7C">
        <w:rPr>
          <w:color w:val="000000"/>
        </w:rPr>
        <w:t xml:space="preserve"> fêmeas suínas mestiças </w:t>
      </w:r>
      <w:r w:rsidR="00E676B6" w:rsidRPr="00915C7C">
        <w:rPr>
          <w:color w:val="000000"/>
        </w:rPr>
        <w:t xml:space="preserve">lactentes </w:t>
      </w:r>
      <w:r w:rsidRPr="00915C7C">
        <w:rPr>
          <w:color w:val="000000"/>
        </w:rPr>
        <w:t xml:space="preserve">(Topigs x AGPIC 425), de alto potencial genético e desempenho superior, com idade inicial de 7 dias e peso médio inicial de 1,76 ±0,28 kg. Metade desses animais (n=16) foi submetida à indução de artrite, </w:t>
      </w:r>
      <w:r w:rsidRPr="00915C7C">
        <w:t xml:space="preserve">na </w:t>
      </w:r>
      <w:r w:rsidR="00E676B6" w:rsidRPr="00915C7C">
        <w:t xml:space="preserve">altura da </w:t>
      </w:r>
      <w:r w:rsidRPr="00915C7C">
        <w:t>articulação tarso-falange do membro posterior direito,</w:t>
      </w:r>
      <w:r w:rsidRPr="00915C7C">
        <w:rPr>
          <w:color w:val="000000"/>
        </w:rPr>
        <w:t xml:space="preserve"> através de </w:t>
      </w:r>
      <w:r w:rsidRPr="00915C7C">
        <w:t>injeção intradérmica de 0,1 mL de adjuvante completo de FREUND (</w:t>
      </w:r>
      <w:r w:rsidRPr="00915C7C">
        <w:rPr>
          <w:i/>
        </w:rPr>
        <w:t>Mycobacterium tuberculosis</w:t>
      </w:r>
      <w:r w:rsidRPr="00915C7C">
        <w:t xml:space="preserve"> derivadas de cepa humana H37Rv e inativadas pelo calor, suspendidas em óleo mineral 0,5% (w/v)) (</w:t>
      </w:r>
      <w:r w:rsidR="00226E7A" w:rsidRPr="00915C7C">
        <w:t>PEARSON; WOOD</w:t>
      </w:r>
      <w:r w:rsidRPr="00915C7C">
        <w:t>, 1963), aos 7, 14 e 21 dias de idade. Um grupo-controle de animais (n=16) foi submetido ao mesmo manejo, com injeção de soro fisiológico (0,9%).</w:t>
      </w:r>
    </w:p>
    <w:p w:rsidR="00F37FC5" w:rsidRPr="00915C7C" w:rsidRDefault="005751A3" w:rsidP="00BF12C5">
      <w:pPr>
        <w:spacing w:after="0" w:line="360" w:lineRule="auto"/>
        <w:ind w:firstLine="567"/>
        <w:jc w:val="both"/>
      </w:pPr>
      <w:r w:rsidRPr="00915C7C">
        <w:t xml:space="preserve">Os animais foram desmamados aos 21 dias de idade, com peso médio de </w:t>
      </w:r>
      <w:r w:rsidRPr="00915C7C">
        <w:rPr>
          <w:color w:val="000000"/>
        </w:rPr>
        <w:t xml:space="preserve">6,71 </w:t>
      </w:r>
      <w:r w:rsidRPr="00915C7C">
        <w:t xml:space="preserve">±1,40 </w:t>
      </w:r>
      <w:r w:rsidRPr="00915C7C">
        <w:rPr>
          <w:color w:val="000000"/>
        </w:rPr>
        <w:t>kg</w:t>
      </w:r>
      <w:r w:rsidRPr="00915C7C">
        <w:t xml:space="preserve">, e então alojados em creche com piso </w:t>
      </w:r>
      <w:r w:rsidR="00E676B6" w:rsidRPr="00915C7C">
        <w:t xml:space="preserve">parcialmente </w:t>
      </w:r>
      <w:r w:rsidRPr="00915C7C">
        <w:t>vazado de polipropileno suspenso, dotada de comedouros semiautomáticos e de bebedouros tipo chupeta, localizada em prédio de alvenaria com paredes de concreto e janelas basculantes. A temperatura e umidade do ar foram monitoradas com auxílio de um termômetro digital, instalado no centro do galpão experimental, a 2,5 m do solo, onde eram coletados os dados climáticos diariamente, durante todo o período experimental.</w:t>
      </w:r>
    </w:p>
    <w:p w:rsidR="00F37FC5" w:rsidRPr="00915C7C" w:rsidRDefault="005751A3" w:rsidP="00BF12C5">
      <w:pPr>
        <w:spacing w:after="0" w:line="360" w:lineRule="auto"/>
        <w:ind w:firstLine="567"/>
        <w:jc w:val="both"/>
      </w:pPr>
      <w:r w:rsidRPr="00915C7C">
        <w:rPr>
          <w:rStyle w:val="A1"/>
          <w:rFonts w:cs="Times New Roman"/>
          <w:sz w:val="24"/>
          <w:szCs w:val="24"/>
        </w:rPr>
        <w:t xml:space="preserve">Os animais ficaram alojados nas baias, consumindo ração basal formulada para a fase inicial, de 7 a 11 kg (NRC, 2012). </w:t>
      </w:r>
      <w:r w:rsidRPr="00915C7C">
        <w:t>Aos 36 dias de idade (15 dias após o desmame), os animais foram submetidos a jejum de 6 horas e eutanasiados, para coleta de sangue e fígado. Após contenção dos animais,</w:t>
      </w:r>
      <w:r w:rsidR="00F517D8" w:rsidRPr="00915C7C">
        <w:t xml:space="preserve"> foram aplicados os tranquilizantes tiopentol (120 mg/kg de peso vivo</w:t>
      </w:r>
      <w:r w:rsidRPr="00915C7C">
        <w:t>)</w:t>
      </w:r>
      <w:r w:rsidR="00F517D8" w:rsidRPr="00915C7C">
        <w:t xml:space="preserve"> e lidocaína (10 mg/kg de peso vivo) via intraperitoneal e </w:t>
      </w:r>
      <w:r w:rsidRPr="00915C7C">
        <w:t>constatada a completa insensibilização, os animais foram abatidos por sangria na veia jugular.</w:t>
      </w:r>
    </w:p>
    <w:p w:rsidR="00F37FC5" w:rsidRPr="00915C7C" w:rsidRDefault="005751A3" w:rsidP="00BF12C5">
      <w:pPr>
        <w:pStyle w:val="Default"/>
        <w:spacing w:after="0" w:line="360" w:lineRule="auto"/>
        <w:ind w:firstLine="567"/>
        <w:jc w:val="both"/>
        <w:rPr>
          <w:rFonts w:ascii="Times New Roman" w:hAnsi="Times New Roman" w:cs="Times New Roman"/>
        </w:rPr>
      </w:pPr>
      <w:r w:rsidRPr="00915C7C">
        <w:rPr>
          <w:rFonts w:ascii="Times New Roman" w:hAnsi="Times New Roman" w:cs="Times New Roman"/>
        </w:rPr>
        <w:t>As amostras de sangue foram colhidas por ocasião do abate por punção na veia jugular (C</w:t>
      </w:r>
      <w:r w:rsidR="00226E7A" w:rsidRPr="00915C7C">
        <w:rPr>
          <w:rFonts w:ascii="Times New Roman" w:hAnsi="Times New Roman" w:cs="Times New Roman"/>
        </w:rPr>
        <w:t>AI; ZIMMERMAN; EWAN</w:t>
      </w:r>
      <w:r w:rsidRPr="00915C7C">
        <w:rPr>
          <w:rFonts w:ascii="Times New Roman" w:hAnsi="Times New Roman" w:cs="Times New Roman"/>
        </w:rPr>
        <w:t xml:space="preserve">, 1994) e transferidas para tubos contendo EDTA, sendo posteriormente centrifugadas a 3.000 rpm, por 15 minutos, para separação do soro e do plasma </w:t>
      </w:r>
      <w:r w:rsidRPr="00915C7C">
        <w:rPr>
          <w:rFonts w:ascii="Times New Roman" w:eastAsia="Calibri" w:hAnsi="Times New Roman" w:cs="Times New Roman"/>
        </w:rPr>
        <w:t>(</w:t>
      </w:r>
      <w:r w:rsidR="00226E7A" w:rsidRPr="00915C7C">
        <w:rPr>
          <w:rFonts w:ascii="Times New Roman" w:eastAsia="Calibri" w:hAnsi="Times New Roman" w:cs="Times New Roman"/>
        </w:rPr>
        <w:t>MORENO</w:t>
      </w:r>
      <w:r w:rsidR="006562F2" w:rsidRPr="00915C7C">
        <w:rPr>
          <w:rFonts w:ascii="Times New Roman" w:eastAsia="Calibri" w:hAnsi="Times New Roman" w:cs="Times New Roman"/>
        </w:rPr>
        <w:t xml:space="preserve"> </w:t>
      </w:r>
      <w:r w:rsidRPr="00915C7C">
        <w:rPr>
          <w:rFonts w:ascii="Times New Roman" w:eastAsia="Calibri" w:hAnsi="Times New Roman" w:cs="Times New Roman"/>
          <w:i/>
          <w:iCs/>
        </w:rPr>
        <w:t>et al</w:t>
      </w:r>
      <w:r w:rsidRPr="00915C7C">
        <w:rPr>
          <w:rFonts w:ascii="Times New Roman" w:eastAsia="Calibri" w:hAnsi="Times New Roman" w:cs="Times New Roman"/>
        </w:rPr>
        <w:t>., 1997).</w:t>
      </w:r>
      <w:r w:rsidRPr="00915C7C">
        <w:rPr>
          <w:rFonts w:ascii="Times New Roman" w:hAnsi="Times New Roman" w:cs="Times New Roman"/>
        </w:rPr>
        <w:t xml:space="preserve"> Em seguida, 3 mL de plasma e 3 mL de soro foram transferidos para tubos tipo “eppendorfs” devidamente identificados e armazenados em nitrogênio líquido, até o transporte para acondicionamento em ultra-freezer (-80ºC).</w:t>
      </w:r>
    </w:p>
    <w:p w:rsidR="00F37FC5" w:rsidRPr="00915C7C" w:rsidRDefault="005751A3" w:rsidP="00BF12C5">
      <w:pPr>
        <w:pStyle w:val="Default"/>
        <w:spacing w:after="0" w:line="360" w:lineRule="auto"/>
        <w:ind w:firstLine="567"/>
        <w:jc w:val="both"/>
        <w:rPr>
          <w:rFonts w:ascii="Times New Roman" w:hAnsi="Times New Roman" w:cs="Times New Roman"/>
        </w:rPr>
      </w:pPr>
      <w:r w:rsidRPr="00915C7C">
        <w:rPr>
          <w:rFonts w:ascii="Times New Roman" w:hAnsi="Times New Roman" w:cs="Times New Roman"/>
        </w:rPr>
        <w:t>Após o abate dos animais, o fígado foi imediatamente coletado, por meio de incisão na cavidade abdominal, para a retirada de um segmento (cerca de 10 g), o qual foi clampeado e mantido em nitrogênio líquido, até o transporte para acondicionamento em ultra-freezer (-80ºC) para análises posteriores.</w:t>
      </w:r>
    </w:p>
    <w:p w:rsidR="00F37FC5" w:rsidRPr="00915C7C" w:rsidRDefault="005751A3" w:rsidP="00BF12C5">
      <w:pPr>
        <w:spacing w:after="0" w:line="360" w:lineRule="auto"/>
        <w:ind w:firstLine="567"/>
        <w:jc w:val="both"/>
        <w:rPr>
          <w:color w:val="000000"/>
        </w:rPr>
      </w:pPr>
      <w:r w:rsidRPr="00915C7C">
        <w:rPr>
          <w:color w:val="000000"/>
        </w:rPr>
        <w:t xml:space="preserve">No plasma foram determinados os seguintes parâmetros de estado oxidativo: glutationa reduzida (GSH), capacidade antioxidante total (TAC), tióis, proteínas carboniladas, proteínas totais, albumina, globulinas e relação albumina:globulinas. No fígado, foram determinados os </w:t>
      </w:r>
      <w:r w:rsidRPr="00915C7C">
        <w:rPr>
          <w:color w:val="000000"/>
        </w:rPr>
        <w:lastRenderedPageBreak/>
        <w:t>seguintes parâmetros de estado oxidativo: catalase, superóxido dismutase e proteínas carboniladas. Todas as análises foram realizadas no Laboratório de Metabolismo Hepático, do Departamento de Bioquímica da UEM.</w:t>
      </w:r>
    </w:p>
    <w:p w:rsidR="00F37FC5" w:rsidRPr="00915C7C" w:rsidRDefault="005751A3" w:rsidP="00BF12C5">
      <w:pPr>
        <w:autoSpaceDE w:val="0"/>
        <w:autoSpaceDN w:val="0"/>
        <w:adjustRightInd w:val="0"/>
        <w:spacing w:after="0" w:line="360" w:lineRule="auto"/>
        <w:ind w:firstLine="567"/>
        <w:jc w:val="both"/>
        <w:rPr>
          <w:color w:val="000000"/>
        </w:rPr>
      </w:pPr>
      <w:r w:rsidRPr="00915C7C">
        <w:rPr>
          <w:color w:val="000000"/>
        </w:rPr>
        <w:t>A GSH foi determinada em lisados de hemácias, utilizando-se kit comercial (OxiSelect™ Total Glutathione (GSSG/GSH) Assay Kit, CAT-312, Cellbiolabs Inc.) por meio do ensaio enzimático com a enzima glutationa redutase, na presença de</w:t>
      </w:r>
      <w:r w:rsidR="00226E7A" w:rsidRPr="00915C7C">
        <w:rPr>
          <w:color w:val="000000"/>
        </w:rPr>
        <w:t xml:space="preserve"> nicotinamida adenina dinucleótido fosfato</w:t>
      </w:r>
      <w:r w:rsidR="00D54E7B" w:rsidRPr="00915C7C">
        <w:rPr>
          <w:color w:val="000000"/>
        </w:rPr>
        <w:t xml:space="preserve"> </w:t>
      </w:r>
      <w:r w:rsidR="00226E7A" w:rsidRPr="00915C7C">
        <w:rPr>
          <w:color w:val="000000"/>
        </w:rPr>
        <w:t>(</w:t>
      </w:r>
      <w:r w:rsidRPr="00915C7C">
        <w:rPr>
          <w:color w:val="000000"/>
        </w:rPr>
        <w:t>NADPH</w:t>
      </w:r>
      <w:r w:rsidR="00226E7A" w:rsidRPr="00915C7C">
        <w:rPr>
          <w:color w:val="000000"/>
        </w:rPr>
        <w:t>)</w:t>
      </w:r>
      <w:r w:rsidRPr="00915C7C">
        <w:rPr>
          <w:color w:val="000000"/>
        </w:rPr>
        <w:t>. Posteriormente um cromógeno presente no kit comercial foi adicionado para reagir com grupamento tiol da GSH, que foi lido em espectrofotômetro, a 405nm. Os procedimentos de cálculo para as concentrações de GSH foram realizados conforme descritos no kit comercial.</w:t>
      </w:r>
    </w:p>
    <w:p w:rsidR="00F37FC5" w:rsidRPr="00915C7C" w:rsidRDefault="005751A3" w:rsidP="00BF12C5">
      <w:pPr>
        <w:tabs>
          <w:tab w:val="center" w:pos="567"/>
        </w:tabs>
        <w:spacing w:after="0" w:line="360" w:lineRule="auto"/>
        <w:ind w:firstLine="567"/>
        <w:jc w:val="both"/>
        <w:rPr>
          <w:color w:val="000000"/>
        </w:rPr>
      </w:pPr>
      <w:r w:rsidRPr="00915C7C">
        <w:rPr>
          <w:color w:val="000000"/>
        </w:rPr>
        <w:t>A TAC foi determinada pelo método colorimétrico, utilizando o composto 2,2’-azino-bis (3-etylbenzthiazoline-6-sulphonic acid) ou ABTS, descrito por Erel (2004). Os resultados foram expressos em mmol equivalente TROLOX.mg de proteína</w:t>
      </w:r>
      <w:r w:rsidRPr="00915C7C">
        <w:rPr>
          <w:color w:val="000000"/>
          <w:vertAlign w:val="superscript"/>
        </w:rPr>
        <w:t>-1</w:t>
      </w:r>
      <w:r w:rsidRPr="00915C7C">
        <w:rPr>
          <w:color w:val="000000"/>
        </w:rPr>
        <w:t>.</w:t>
      </w:r>
    </w:p>
    <w:p w:rsidR="00F37FC5" w:rsidRPr="00915C7C" w:rsidRDefault="005751A3" w:rsidP="00BF12C5">
      <w:pPr>
        <w:spacing w:after="0" w:line="360" w:lineRule="auto"/>
        <w:ind w:firstLine="567"/>
        <w:jc w:val="both"/>
        <w:rPr>
          <w:color w:val="000000"/>
        </w:rPr>
      </w:pPr>
      <w:r w:rsidRPr="00915C7C">
        <w:rPr>
          <w:color w:val="000000"/>
        </w:rPr>
        <w:t xml:space="preserve">Os níveis plasmáticos de tióis totais foram determinados utilizando o DTNB (ácido 5,5-ditiobis (2-nitrobenzóico), conforme descrito por Faure </w:t>
      </w:r>
      <w:r w:rsidR="005A20FD" w:rsidRPr="00915C7C">
        <w:rPr>
          <w:color w:val="000000"/>
        </w:rPr>
        <w:t>e</w:t>
      </w:r>
      <w:r w:rsidRPr="00915C7C">
        <w:rPr>
          <w:color w:val="000000"/>
        </w:rPr>
        <w:t xml:space="preserve"> Lafond (1995). A diferença de absorbância inicial e final foi utilizada para calcular a concentração de tióis reduzidos e os valores foram expressos como ηmol de tióis.mg de proteína</w:t>
      </w:r>
      <w:r w:rsidRPr="00915C7C">
        <w:rPr>
          <w:color w:val="000000"/>
          <w:vertAlign w:val="superscript"/>
        </w:rPr>
        <w:t>-1</w:t>
      </w:r>
      <w:r w:rsidRPr="00915C7C">
        <w:rPr>
          <w:color w:val="000000"/>
        </w:rPr>
        <w:t>.</w:t>
      </w:r>
    </w:p>
    <w:p w:rsidR="00F37FC5" w:rsidRPr="00915C7C" w:rsidRDefault="005751A3" w:rsidP="00BF12C5">
      <w:pPr>
        <w:spacing w:after="0" w:line="360" w:lineRule="auto"/>
        <w:ind w:firstLine="567"/>
        <w:jc w:val="both"/>
        <w:rPr>
          <w:color w:val="000000"/>
        </w:rPr>
      </w:pPr>
      <w:r w:rsidRPr="00915C7C">
        <w:rPr>
          <w:color w:val="000000"/>
        </w:rPr>
        <w:t xml:space="preserve">O conteúdo de proteínas carboniladas, tanto para plasma quanto para fígado, foi determinado pelo método do 2,4 dinitrofenilhidrazina (DNPH), como descrito por Levine </w:t>
      </w:r>
      <w:r w:rsidRPr="00915C7C">
        <w:rPr>
          <w:i/>
          <w:iCs/>
          <w:color w:val="000000"/>
        </w:rPr>
        <w:t>et al</w:t>
      </w:r>
      <w:r w:rsidRPr="00915C7C">
        <w:rPr>
          <w:color w:val="000000"/>
        </w:rPr>
        <w:t>. (1990). O conteúdo de proteínas carboniladas foi calculado com base no coeficiente de extinção molar de 22 mM</w:t>
      </w:r>
      <w:r w:rsidRPr="00915C7C">
        <w:rPr>
          <w:color w:val="000000"/>
          <w:vertAlign w:val="superscript"/>
        </w:rPr>
        <w:t xml:space="preserve">-1 </w:t>
      </w:r>
      <w:r w:rsidRPr="00915C7C">
        <w:rPr>
          <w:color w:val="000000"/>
        </w:rPr>
        <w:t>cm</w:t>
      </w:r>
      <w:r w:rsidRPr="00915C7C">
        <w:rPr>
          <w:color w:val="000000"/>
          <w:vertAlign w:val="superscript"/>
        </w:rPr>
        <w:t>-1</w:t>
      </w:r>
      <w:r w:rsidRPr="00915C7C">
        <w:rPr>
          <w:color w:val="000000"/>
        </w:rPr>
        <w:t>, e os resultados foram expressos em nmol de grupamentos carbonil.mg de proteína</w:t>
      </w:r>
      <w:r w:rsidRPr="00915C7C">
        <w:rPr>
          <w:color w:val="000000"/>
          <w:vertAlign w:val="superscript"/>
        </w:rPr>
        <w:t>-1</w:t>
      </w:r>
      <w:r w:rsidRPr="00915C7C">
        <w:rPr>
          <w:color w:val="000000"/>
        </w:rPr>
        <w:t xml:space="preserve">. </w:t>
      </w:r>
      <w:r w:rsidRPr="00915C7C">
        <w:t xml:space="preserve">O conteúdo proteico (proteínas totais, albumina e globulinas) foi determinado conforme descrito por Lowry </w:t>
      </w:r>
      <w:r w:rsidRPr="00915C7C">
        <w:rPr>
          <w:i/>
          <w:iCs/>
        </w:rPr>
        <w:t>et al</w:t>
      </w:r>
      <w:r w:rsidRPr="00915C7C">
        <w:t>. (1951), utilizando albumina bovina como padrão.</w:t>
      </w:r>
    </w:p>
    <w:p w:rsidR="00F37FC5" w:rsidRPr="00915C7C" w:rsidRDefault="005751A3" w:rsidP="00BF12C5">
      <w:pPr>
        <w:spacing w:after="0" w:line="360" w:lineRule="auto"/>
        <w:ind w:firstLine="567"/>
        <w:jc w:val="both"/>
      </w:pPr>
      <w:r w:rsidRPr="00915C7C">
        <w:t xml:space="preserve">O fígado, ainda congelado, foi pesado e homogeneizado em homogeneizador do tipo Van Potter Elvhjem com dez volumes de Tampão fosfato de potássio 0,1 M (pH 7,4) para o preparo do homogenato hepático. Para as determinações das atividades das enzimas antioxidantes: catalase, superóxido dismutase, bem como o conteúdo de proteínas carboniladas, foram utilizados os sobrenadantes obtidos após a centrifugação dos respectivos homogenatos a 5.000 rpm por 15 minutos. O conteúdo proteico dos homogenatos de fígado e dos sobrenadantes obtidos após centrifugação foram determinados conforme descrito por Lowry </w:t>
      </w:r>
      <w:r w:rsidRPr="00915C7C">
        <w:rPr>
          <w:i/>
          <w:iCs/>
        </w:rPr>
        <w:t>et al</w:t>
      </w:r>
      <w:r w:rsidRPr="00915C7C">
        <w:t>. (1951), utilizando albumina bovina como padrão.</w:t>
      </w:r>
    </w:p>
    <w:p w:rsidR="00F37FC5" w:rsidRPr="00915C7C" w:rsidRDefault="005751A3" w:rsidP="00BF12C5">
      <w:pPr>
        <w:spacing w:after="0" w:line="360" w:lineRule="auto"/>
        <w:ind w:firstLine="567"/>
        <w:jc w:val="both"/>
        <w:rPr>
          <w:color w:val="000000"/>
        </w:rPr>
      </w:pPr>
      <w:r w:rsidRPr="00915C7C">
        <w:t>A atividade da enzima catalase foi avaliada pela decomposição enzimática do H</w:t>
      </w:r>
      <w:r w:rsidRPr="00915C7C">
        <w:rPr>
          <w:vertAlign w:val="subscript"/>
        </w:rPr>
        <w:t>2</w:t>
      </w:r>
      <w:r w:rsidRPr="00915C7C">
        <w:t>O</w:t>
      </w:r>
      <w:r w:rsidRPr="00915C7C">
        <w:rPr>
          <w:vertAlign w:val="subscript"/>
        </w:rPr>
        <w:t>2</w:t>
      </w:r>
      <w:r w:rsidRPr="00915C7C">
        <w:t xml:space="preserve"> medida diretamente por espectrofotometria em 240 nm, conforme descrito por </w:t>
      </w:r>
      <w:r w:rsidRPr="00915C7C">
        <w:rPr>
          <w:color w:val="000000"/>
        </w:rPr>
        <w:t>Aebi (1974)</w:t>
      </w:r>
      <w:r w:rsidRPr="00915C7C">
        <w:t xml:space="preserve">. A </w:t>
      </w:r>
      <w:r w:rsidRPr="00915C7C">
        <w:lastRenderedPageBreak/>
        <w:t xml:space="preserve">atividade da enzima SOD foi determinada por meio da capacidade desta enzima em inibir a auto-oxidação do reagente pirogalol em meio alcalino, que pode ser monitorado por espectrofotometria </w:t>
      </w:r>
      <w:r w:rsidRPr="00915C7C">
        <w:rPr>
          <w:color w:val="000000"/>
        </w:rPr>
        <w:t>em 420 nm (M</w:t>
      </w:r>
      <w:r w:rsidR="005A20FD" w:rsidRPr="00915C7C">
        <w:rPr>
          <w:color w:val="000000"/>
        </w:rPr>
        <w:t>ARKLUND;</w:t>
      </w:r>
      <w:r w:rsidRPr="00915C7C">
        <w:rPr>
          <w:color w:val="000000"/>
        </w:rPr>
        <w:t xml:space="preserve"> M</w:t>
      </w:r>
      <w:r w:rsidR="005A20FD" w:rsidRPr="00915C7C">
        <w:rPr>
          <w:color w:val="000000"/>
        </w:rPr>
        <w:t>ARKLUND</w:t>
      </w:r>
      <w:r w:rsidRPr="00915C7C">
        <w:rPr>
          <w:color w:val="000000"/>
        </w:rPr>
        <w:t>, 1974).</w:t>
      </w:r>
    </w:p>
    <w:p w:rsidR="00F37FC5" w:rsidRPr="00915C7C" w:rsidRDefault="004252D6" w:rsidP="00BF12C5">
      <w:pPr>
        <w:spacing w:after="0" w:line="360" w:lineRule="auto"/>
        <w:ind w:firstLine="567"/>
        <w:jc w:val="both"/>
        <w:rPr>
          <w:color w:val="000000"/>
        </w:rPr>
      </w:pPr>
      <w:r w:rsidRPr="00915C7C">
        <w:rPr>
          <w:color w:val="000000"/>
        </w:rPr>
        <w:t>A determinação das proteínas de fase aguda foi</w:t>
      </w:r>
      <w:r w:rsidR="005751A3" w:rsidRPr="00915C7C">
        <w:rPr>
          <w:color w:val="000000"/>
        </w:rPr>
        <w:t xml:space="preserve"> conduzida no Laboratório de Análises Clínicas da Faculdade de Ciências Agrárias e Veterinárias da Universidade Estadual Paulista “Julio Mesquita Filho”, em Jaboticabal-SP.</w:t>
      </w:r>
    </w:p>
    <w:p w:rsidR="00F37FC5" w:rsidRPr="00915C7C" w:rsidRDefault="005751A3" w:rsidP="00BF12C5">
      <w:pPr>
        <w:spacing w:after="0" w:line="360" w:lineRule="auto"/>
        <w:ind w:firstLine="567"/>
        <w:jc w:val="both"/>
        <w:rPr>
          <w:rStyle w:val="A1"/>
          <w:rFonts w:cs="Times New Roman"/>
          <w:sz w:val="24"/>
          <w:szCs w:val="24"/>
        </w:rPr>
      </w:pPr>
      <w:r w:rsidRPr="00915C7C">
        <w:rPr>
          <w:color w:val="000000"/>
        </w:rPr>
        <w:t>No soro sanguíneo, as proteínas de fase aguda (</w:t>
      </w:r>
      <w:r w:rsidR="00E676B6" w:rsidRPr="00915C7C">
        <w:rPr>
          <w:color w:val="000000"/>
        </w:rPr>
        <w:t>IgG, IgA</w:t>
      </w:r>
      <w:r w:rsidRPr="00915C7C">
        <w:rPr>
          <w:color w:val="000000"/>
        </w:rPr>
        <w:t>, ceruloplasmina, glicoproteína ácida, haptoglob</w:t>
      </w:r>
      <w:r w:rsidR="00E676B6" w:rsidRPr="00915C7C">
        <w:rPr>
          <w:color w:val="000000"/>
        </w:rPr>
        <w:t>i</w:t>
      </w:r>
      <w:r w:rsidRPr="00915C7C">
        <w:rPr>
          <w:color w:val="000000"/>
        </w:rPr>
        <w:t>na e transferrina) foram quantificadas por eletroforese. Uma amostra do soro foi submetida a uma corrida eletroforética em gel de poliacrilamida contendo dodecil sulfato de sódio (SDS-PAGE). Foram determinadas as frações da proteína por densitometria computadorizada, usando-se como referência um marcador com pesos moleculares de 29 kDa, 45 kDa, 66 kDa, 116 kDa, 205 kDa. As concentrações das proteínas de fase aguda foram determinadas pela proporção das mesmas em relação aos valores da proteína total (L</w:t>
      </w:r>
      <w:r w:rsidR="005A20FD" w:rsidRPr="00915C7C">
        <w:rPr>
          <w:color w:val="000000"/>
        </w:rPr>
        <w:t>AEMMLI</w:t>
      </w:r>
      <w:r w:rsidRPr="00915C7C">
        <w:rPr>
          <w:color w:val="000000"/>
        </w:rPr>
        <w:t>, 1970).</w:t>
      </w:r>
    </w:p>
    <w:p w:rsidR="00F37FC5" w:rsidRPr="00915C7C" w:rsidRDefault="005751A3" w:rsidP="00BF12C5">
      <w:pPr>
        <w:spacing w:after="0" w:line="360" w:lineRule="auto"/>
        <w:ind w:firstLine="567"/>
        <w:contextualSpacing/>
        <w:jc w:val="both"/>
        <w:rPr>
          <w:rFonts w:eastAsia="TimesNewRoman"/>
        </w:rPr>
      </w:pPr>
      <w:r w:rsidRPr="00915C7C">
        <w:t xml:space="preserve">O procedimento UNIVARIATE foi aplicado para avaliar a presença de </w:t>
      </w:r>
      <w:r w:rsidRPr="00915C7C">
        <w:rPr>
          <w:i/>
        </w:rPr>
        <w:t>outliers</w:t>
      </w:r>
      <w:r w:rsidRPr="00915C7C">
        <w:t xml:space="preserve"> entre as variáveis obtidas. A</w:t>
      </w:r>
      <w:r w:rsidRPr="00915C7C">
        <w:rPr>
          <w:rFonts w:eastAsia="TimesNewRoman"/>
        </w:rPr>
        <w:t xml:space="preserve"> normalidade dos erros experimentais e a homogeneidade de variâncias entre os tratamentos para as diversas variáveis foram avaliadas previamente utilizando-se os testes de Shapiro-Wilk e de Levene, respectivamente, por meio do software </w:t>
      </w:r>
      <w:r w:rsidRPr="00915C7C">
        <w:t>“</w:t>
      </w:r>
      <w:r w:rsidRPr="00915C7C">
        <w:rPr>
          <w:i/>
        </w:rPr>
        <w:t>Statistical Analysis System</w:t>
      </w:r>
      <w:r w:rsidRPr="00915C7C">
        <w:t>” (SAS Inst. Inc., Cary, NC, EUA, 2010)</w:t>
      </w:r>
      <w:r w:rsidRPr="00915C7C">
        <w:rPr>
          <w:rFonts w:eastAsia="TimesNewRoman"/>
        </w:rPr>
        <w:t>.</w:t>
      </w:r>
    </w:p>
    <w:p w:rsidR="00F37FC5" w:rsidRPr="00915C7C" w:rsidRDefault="005751A3" w:rsidP="00BF12C5">
      <w:pPr>
        <w:spacing w:after="0" w:line="360" w:lineRule="auto"/>
        <w:ind w:firstLine="567"/>
        <w:contextualSpacing/>
        <w:jc w:val="both"/>
      </w:pPr>
      <w:r w:rsidRPr="00915C7C">
        <w:rPr>
          <w:rFonts w:eastAsia="TimesNewRoman"/>
        </w:rPr>
        <w:t xml:space="preserve">A análise de variância (ANOVA) foi realizada por meio do procedimento </w:t>
      </w:r>
      <w:r w:rsidRPr="00915C7C">
        <w:t>“</w:t>
      </w:r>
      <w:r w:rsidRPr="00915C7C">
        <w:rPr>
          <w:i/>
        </w:rPr>
        <w:t>General Linear Models</w:t>
      </w:r>
      <w:r w:rsidRPr="00915C7C">
        <w:t>” (GLM) do software estatístico SAS (2010). Foi aplicado o Teste F sobre as médias obtidas para os protocolos de indução de artrite. Para todas as análises, foi adotado o nível de significância (P) de 0,05.</w:t>
      </w:r>
      <w:bookmarkStart w:id="13" w:name="_Toc338606680"/>
      <w:bookmarkStart w:id="14" w:name="_Toc338607848"/>
      <w:bookmarkStart w:id="15" w:name="_Toc338608020"/>
      <w:bookmarkStart w:id="16" w:name="_Toc339289836"/>
    </w:p>
    <w:p w:rsidR="006562F2" w:rsidRPr="00915C7C" w:rsidRDefault="006562F2" w:rsidP="00915C7C">
      <w:pPr>
        <w:spacing w:after="0" w:line="360" w:lineRule="auto"/>
        <w:ind w:firstLine="567"/>
        <w:contextualSpacing/>
        <w:jc w:val="both"/>
      </w:pPr>
    </w:p>
    <w:p w:rsidR="00F37FC5" w:rsidRDefault="005751A3" w:rsidP="00915C7C">
      <w:pPr>
        <w:pStyle w:val="Ttulo3"/>
        <w:spacing w:before="0" w:after="0" w:line="360" w:lineRule="auto"/>
      </w:pPr>
      <w:r w:rsidRPr="00915C7C">
        <w:t>RESULTADOS E DISCUSSÃO</w:t>
      </w:r>
      <w:bookmarkEnd w:id="13"/>
      <w:bookmarkEnd w:id="14"/>
      <w:bookmarkEnd w:id="15"/>
      <w:bookmarkEnd w:id="16"/>
    </w:p>
    <w:p w:rsidR="00C30935" w:rsidRPr="00C30935" w:rsidRDefault="00C30935" w:rsidP="00C30935"/>
    <w:p w:rsidR="00185BD0" w:rsidRPr="00915C7C" w:rsidRDefault="005751A3" w:rsidP="00BF12C5">
      <w:pPr>
        <w:autoSpaceDE w:val="0"/>
        <w:autoSpaceDN w:val="0"/>
        <w:adjustRightInd w:val="0"/>
        <w:spacing w:after="0" w:line="360" w:lineRule="auto"/>
        <w:ind w:firstLine="567"/>
        <w:jc w:val="both"/>
      </w:pPr>
      <w:r w:rsidRPr="00915C7C">
        <w:t xml:space="preserve">No período experimental, as médias </w:t>
      </w:r>
      <w:r w:rsidR="00D54E7B" w:rsidRPr="00915C7C">
        <w:t>mínimas e máximas</w:t>
      </w:r>
      <w:r w:rsidRPr="00915C7C">
        <w:t xml:space="preserve"> d</w:t>
      </w:r>
      <w:r w:rsidR="00D54E7B" w:rsidRPr="00915C7C">
        <w:t>a</w:t>
      </w:r>
      <w:r w:rsidRPr="00915C7C">
        <w:t xml:space="preserve"> temperatura ambiental foram, respectivamente, de 19,5 e 32,3ºC; e de umidade relativa do ar foram de 65,3 e 91,4%.</w:t>
      </w:r>
      <w:r w:rsidR="00EF4718" w:rsidRPr="00915C7C">
        <w:t xml:space="preserve"> </w:t>
      </w:r>
      <w:r w:rsidRPr="00915C7C">
        <w:t xml:space="preserve">Todas as variáveis do estado oxidativo no plasma diferiram em função dos protocolos avaliados </w:t>
      </w:r>
      <w:r w:rsidR="00EF4718" w:rsidRPr="00915C7C">
        <w:t>(</w:t>
      </w:r>
      <w:r w:rsidR="00185BD0" w:rsidRPr="00915C7C">
        <w:t>Tabela 1</w:t>
      </w:r>
      <w:r w:rsidR="00EF4718" w:rsidRPr="00915C7C">
        <w:t>)</w:t>
      </w:r>
      <w:r w:rsidR="00185BD0" w:rsidRPr="00915C7C">
        <w:t xml:space="preserve">. </w:t>
      </w:r>
      <w:r w:rsidRPr="00915C7C">
        <w:t>Para o protocolo positivo, os valores de GSH, TAC</w:t>
      </w:r>
      <w:r w:rsidR="00EF4718" w:rsidRPr="00915C7C">
        <w:t xml:space="preserve"> e</w:t>
      </w:r>
      <w:r w:rsidRPr="00915C7C">
        <w:t xml:space="preserve"> Tióis </w:t>
      </w:r>
      <w:r w:rsidR="006B0199" w:rsidRPr="00915C7C">
        <w:t xml:space="preserve">foram inferiores </w:t>
      </w:r>
      <w:r w:rsidRPr="00915C7C">
        <w:t xml:space="preserve">(P&lt;0,05) quando comparados aos valores determinados no plasma de animais do Protocolo Controle, conforme expresso nas </w:t>
      </w:r>
      <w:r w:rsidR="00BF12C5">
        <w:t>F</w:t>
      </w:r>
      <w:r w:rsidRPr="00915C7C">
        <w:t xml:space="preserve">iguras </w:t>
      </w:r>
      <w:r w:rsidR="00934AF2">
        <w:t>2</w:t>
      </w:r>
      <w:r w:rsidRPr="00915C7C">
        <w:t xml:space="preserve">-A, </w:t>
      </w:r>
      <w:r w:rsidR="00934AF2">
        <w:t>2</w:t>
      </w:r>
      <w:r w:rsidRPr="00915C7C">
        <w:t>-B</w:t>
      </w:r>
      <w:r w:rsidR="00EF4718" w:rsidRPr="00915C7C">
        <w:t xml:space="preserve"> e</w:t>
      </w:r>
      <w:r w:rsidRPr="00915C7C">
        <w:t xml:space="preserve"> </w:t>
      </w:r>
      <w:r w:rsidR="00934AF2">
        <w:t>2</w:t>
      </w:r>
      <w:r w:rsidRPr="00915C7C">
        <w:t>-C</w:t>
      </w:r>
      <w:r w:rsidR="00185BD0" w:rsidRPr="00915C7C">
        <w:t xml:space="preserve">, </w:t>
      </w:r>
      <w:r w:rsidRPr="00915C7C">
        <w:t xml:space="preserve">respectivamente. </w:t>
      </w:r>
      <w:r w:rsidR="00185BD0" w:rsidRPr="00915C7C">
        <w:t xml:space="preserve">Ainda </w:t>
      </w:r>
      <w:r w:rsidR="00185BD0" w:rsidRPr="00915C7C">
        <w:lastRenderedPageBreak/>
        <w:t xml:space="preserve">assim, ocorreu exatamente o contrário para as proteínas carboniladas, cujos valores foram superiores (P&lt;0,05) para os animais do Grupo Positivo (Figura </w:t>
      </w:r>
      <w:r w:rsidR="00934AF2">
        <w:t>2</w:t>
      </w:r>
      <w:r w:rsidR="00185BD0" w:rsidRPr="00915C7C">
        <w:t>-D).</w:t>
      </w:r>
    </w:p>
    <w:p w:rsidR="00F37FC5" w:rsidRPr="00915C7C" w:rsidRDefault="00D54E7B" w:rsidP="00915C7C">
      <w:pPr>
        <w:autoSpaceDE w:val="0"/>
        <w:autoSpaceDN w:val="0"/>
        <w:adjustRightInd w:val="0"/>
        <w:spacing w:after="0" w:line="360" w:lineRule="auto"/>
        <w:ind w:firstLine="567"/>
        <w:jc w:val="both"/>
      </w:pPr>
      <w:r w:rsidRPr="00915C7C">
        <w:t>Baixa concentração</w:t>
      </w:r>
      <w:r w:rsidR="005751A3" w:rsidRPr="00915C7C">
        <w:t xml:space="preserve"> de GSH </w:t>
      </w:r>
      <w:r w:rsidRPr="00915C7C">
        <w:t>é um indicativo</w:t>
      </w:r>
      <w:r w:rsidR="005751A3" w:rsidRPr="00915C7C">
        <w:t xml:space="preserve"> direto de estresse oxidativo, que pode ter sido gerado, pela presença de infecções oportunistas. Por se tratar de um agente de defesa antioxidante, a GSH é consumida</w:t>
      </w:r>
      <w:r w:rsidR="00185BD0" w:rsidRPr="00915C7C">
        <w:t xml:space="preserve"> como cofator</w:t>
      </w:r>
      <w:r w:rsidR="005751A3" w:rsidRPr="00915C7C">
        <w:t xml:space="preserve"> no processo</w:t>
      </w:r>
      <w:r w:rsidR="00185BD0" w:rsidRPr="00915C7C">
        <w:t xml:space="preserve"> de redução das ERO</w:t>
      </w:r>
      <w:r w:rsidR="005751A3" w:rsidRPr="00915C7C">
        <w:t xml:space="preserve">, reduzindo sua concentração circulante. Logo, o baixo resultado de GSH, para animais do protocolo positivo, demonstra que a defesa antioxidante foi acionada frente a um possível aumento das ERO. A GSH age </w:t>
      </w:r>
      <w:r w:rsidR="00185BD0" w:rsidRPr="00915C7C">
        <w:t>através de um complexo enzimático em conjunto com a GPx e a glutationa redutase (GRd), sendo utilizada como</w:t>
      </w:r>
      <w:r w:rsidR="005751A3" w:rsidRPr="00915C7C">
        <w:t xml:space="preserve"> redutor intracelular, reagindo com radicais livres</w:t>
      </w:r>
      <w:r w:rsidR="00185BD0" w:rsidRPr="00915C7C">
        <w:t xml:space="preserve"> e </w:t>
      </w:r>
      <w:r w:rsidR="005751A3" w:rsidRPr="00915C7C">
        <w:t>gerando um monômero oxidado (GS), que se liga</w:t>
      </w:r>
      <w:r w:rsidR="00EF4718" w:rsidRPr="00915C7C">
        <w:t xml:space="preserve"> </w:t>
      </w:r>
      <w:r w:rsidR="005751A3" w:rsidRPr="00915C7C">
        <w:t xml:space="preserve">a </w:t>
      </w:r>
      <w:r w:rsidR="005A20FD" w:rsidRPr="00915C7C">
        <w:t>um segundo</w:t>
      </w:r>
      <w:r w:rsidR="005751A3" w:rsidRPr="00915C7C">
        <w:t xml:space="preserve"> monômero oxidado (SG), forma</w:t>
      </w:r>
      <w:r w:rsidR="00185BD0" w:rsidRPr="00915C7C">
        <w:t>ndo</w:t>
      </w:r>
      <w:r w:rsidR="005751A3" w:rsidRPr="00915C7C">
        <w:t xml:space="preserve"> a glutationa oxidada (GSSG) (</w:t>
      </w:r>
      <w:r w:rsidR="005A20FD" w:rsidRPr="00915C7C">
        <w:t>JÚNIOR</w:t>
      </w:r>
      <w:r w:rsidR="00EF4718" w:rsidRPr="00915C7C">
        <w:t xml:space="preserve"> </w:t>
      </w:r>
      <w:r w:rsidR="005751A3" w:rsidRPr="00915C7C">
        <w:rPr>
          <w:i/>
          <w:iCs/>
        </w:rPr>
        <w:t>et al</w:t>
      </w:r>
      <w:r w:rsidR="005751A3" w:rsidRPr="00915C7C">
        <w:t>., 1998).</w:t>
      </w:r>
      <w:r w:rsidR="0086768A" w:rsidRPr="00915C7C">
        <w:t xml:space="preserve"> E</w:t>
      </w:r>
      <w:r w:rsidR="005751A3" w:rsidRPr="00915C7C">
        <w:t xml:space="preserve">m trabalho realizado com humanos com diagnóstico positivo para artrite reumatoide, Hassan </w:t>
      </w:r>
      <w:r w:rsidR="005751A3" w:rsidRPr="00915C7C">
        <w:rPr>
          <w:i/>
          <w:iCs/>
        </w:rPr>
        <w:t>et al</w:t>
      </w:r>
      <w:r w:rsidR="005751A3" w:rsidRPr="00915C7C">
        <w:t>. (201</w:t>
      </w:r>
      <w:r w:rsidR="00836DFD" w:rsidRPr="00915C7C">
        <w:t>1</w:t>
      </w:r>
      <w:r w:rsidR="005751A3" w:rsidRPr="00915C7C">
        <w:t>) também observaram redução na concentração plasmática de GSH, constatando que o estresse oxidativo decorrente da inflamação foi responsável pela ativação do sistema antioxidante, resultando no consumo da GSH.</w:t>
      </w:r>
    </w:p>
    <w:p w:rsidR="00EF4718" w:rsidRPr="00915C7C" w:rsidRDefault="00EF4718" w:rsidP="00915C7C">
      <w:pPr>
        <w:autoSpaceDE w:val="0"/>
        <w:autoSpaceDN w:val="0"/>
        <w:adjustRightInd w:val="0"/>
        <w:spacing w:after="0" w:line="360" w:lineRule="auto"/>
        <w:ind w:firstLine="567"/>
        <w:jc w:val="both"/>
      </w:pPr>
    </w:p>
    <w:p w:rsidR="001505AB" w:rsidRPr="00915C7C" w:rsidRDefault="001505AB" w:rsidP="00677B8A">
      <w:pPr>
        <w:pStyle w:val="Recuodecorpodetexto"/>
        <w:tabs>
          <w:tab w:val="left" w:pos="0"/>
          <w:tab w:val="left" w:pos="284"/>
        </w:tabs>
        <w:spacing w:after="0" w:line="360" w:lineRule="auto"/>
        <w:ind w:right="-1"/>
        <w:jc w:val="both"/>
        <w:rPr>
          <w:color w:val="0D0D0D"/>
        </w:rPr>
      </w:pPr>
      <w:r w:rsidRPr="00915C7C">
        <w:rPr>
          <w:b/>
          <w:color w:val="0D0D0D"/>
        </w:rPr>
        <w:t xml:space="preserve">Tabela 1.  </w:t>
      </w:r>
      <w:r w:rsidRPr="00915C7C">
        <w:rPr>
          <w:color w:val="0D0D0D"/>
        </w:rPr>
        <w:t>Variáveis de estado oxidativo no plasma de fêmeas suínas em fase inicial, com artrite induzida por adjuvante na fase de lactação.</w:t>
      </w:r>
    </w:p>
    <w:tbl>
      <w:tblPr>
        <w:tblW w:w="5000" w:type="pct"/>
        <w:jc w:val="center"/>
        <w:tblCellMar>
          <w:left w:w="57" w:type="dxa"/>
          <w:right w:w="57" w:type="dxa"/>
        </w:tblCellMar>
        <w:tblLook w:val="04A0" w:firstRow="1" w:lastRow="0" w:firstColumn="1" w:lastColumn="0" w:noHBand="0" w:noVBand="1"/>
      </w:tblPr>
      <w:tblGrid>
        <w:gridCol w:w="4442"/>
        <w:gridCol w:w="1608"/>
        <w:gridCol w:w="1571"/>
        <w:gridCol w:w="774"/>
        <w:gridCol w:w="790"/>
      </w:tblGrid>
      <w:tr w:rsidR="001505AB" w:rsidRPr="00915C7C" w:rsidTr="00BF12C5">
        <w:trPr>
          <w:trHeight w:val="306"/>
          <w:jc w:val="center"/>
        </w:trPr>
        <w:tc>
          <w:tcPr>
            <w:tcW w:w="2439" w:type="pct"/>
            <w:tcBorders>
              <w:top w:val="single" w:sz="4" w:space="0" w:color="auto"/>
              <w:bottom w:val="single" w:sz="4" w:space="0" w:color="auto"/>
            </w:tcBorders>
            <w:vAlign w:val="center"/>
          </w:tcPr>
          <w:p w:rsidR="001505AB" w:rsidRPr="00915C7C" w:rsidRDefault="001505AB" w:rsidP="00915C7C">
            <w:pPr>
              <w:tabs>
                <w:tab w:val="left" w:pos="1830"/>
              </w:tabs>
              <w:spacing w:after="0" w:line="360" w:lineRule="auto"/>
            </w:pPr>
            <w:r w:rsidRPr="00915C7C">
              <w:t>Variáveis (±DP</w:t>
            </w:r>
            <w:r w:rsidRPr="00915C7C">
              <w:rPr>
                <w:vertAlign w:val="superscript"/>
              </w:rPr>
              <w:t>1</w:t>
            </w:r>
            <w:r w:rsidRPr="00915C7C">
              <w:t>)</w:t>
            </w:r>
            <w:r w:rsidRPr="00915C7C">
              <w:rPr>
                <w:vertAlign w:val="superscript"/>
              </w:rPr>
              <w:t>2</w:t>
            </w:r>
          </w:p>
        </w:tc>
        <w:tc>
          <w:tcPr>
            <w:tcW w:w="896" w:type="pct"/>
            <w:tcBorders>
              <w:top w:val="single" w:sz="4" w:space="0" w:color="auto"/>
              <w:bottom w:val="single" w:sz="4" w:space="0" w:color="auto"/>
            </w:tcBorders>
            <w:vAlign w:val="center"/>
          </w:tcPr>
          <w:p w:rsidR="001505AB" w:rsidRPr="00BF12C5" w:rsidRDefault="001505AB" w:rsidP="00BF12C5">
            <w:pPr>
              <w:spacing w:after="0" w:line="360" w:lineRule="auto"/>
              <w:jc w:val="center"/>
              <w:rPr>
                <w:vertAlign w:val="superscript"/>
              </w:rPr>
            </w:pPr>
            <w:r w:rsidRPr="00915C7C">
              <w:t xml:space="preserve">Protocolo Controle </w:t>
            </w:r>
            <w:r w:rsidRPr="00915C7C">
              <w:rPr>
                <w:vertAlign w:val="superscript"/>
              </w:rPr>
              <w:t>4</w:t>
            </w:r>
          </w:p>
        </w:tc>
        <w:tc>
          <w:tcPr>
            <w:tcW w:w="876" w:type="pct"/>
            <w:tcBorders>
              <w:top w:val="single" w:sz="4" w:space="0" w:color="auto"/>
              <w:bottom w:val="single" w:sz="4" w:space="0" w:color="auto"/>
            </w:tcBorders>
            <w:vAlign w:val="center"/>
          </w:tcPr>
          <w:p w:rsidR="001505AB" w:rsidRPr="00BF12C5" w:rsidRDefault="001505AB" w:rsidP="00BF12C5">
            <w:pPr>
              <w:spacing w:after="0" w:line="360" w:lineRule="auto"/>
              <w:jc w:val="center"/>
              <w:rPr>
                <w:vertAlign w:val="superscript"/>
              </w:rPr>
            </w:pPr>
            <w:r w:rsidRPr="00915C7C">
              <w:t xml:space="preserve">Protocolo Positivo </w:t>
            </w:r>
            <w:r w:rsidRPr="00915C7C">
              <w:rPr>
                <w:vertAlign w:val="superscript"/>
              </w:rPr>
              <w:t>3</w:t>
            </w:r>
          </w:p>
        </w:tc>
        <w:tc>
          <w:tcPr>
            <w:tcW w:w="382" w:type="pct"/>
            <w:tcBorders>
              <w:top w:val="single" w:sz="4" w:space="0" w:color="auto"/>
              <w:bottom w:val="single" w:sz="4" w:space="0" w:color="auto"/>
            </w:tcBorders>
            <w:vAlign w:val="center"/>
          </w:tcPr>
          <w:p w:rsidR="001505AB" w:rsidRPr="00915C7C" w:rsidRDefault="001505AB" w:rsidP="00915C7C">
            <w:pPr>
              <w:spacing w:after="0" w:line="360" w:lineRule="auto"/>
              <w:jc w:val="center"/>
            </w:pPr>
            <w:r w:rsidRPr="00915C7C">
              <w:t>EPM</w:t>
            </w:r>
            <w:r w:rsidRPr="00915C7C">
              <w:rPr>
                <w:vertAlign w:val="superscript"/>
              </w:rPr>
              <w:t>5</w:t>
            </w:r>
          </w:p>
        </w:tc>
        <w:tc>
          <w:tcPr>
            <w:tcW w:w="406" w:type="pct"/>
            <w:tcBorders>
              <w:top w:val="single" w:sz="4" w:space="0" w:color="auto"/>
              <w:bottom w:val="single" w:sz="4" w:space="0" w:color="auto"/>
            </w:tcBorders>
            <w:vAlign w:val="center"/>
          </w:tcPr>
          <w:p w:rsidR="001505AB" w:rsidRPr="00915C7C" w:rsidRDefault="001505AB" w:rsidP="00915C7C">
            <w:pPr>
              <w:spacing w:after="0" w:line="360" w:lineRule="auto"/>
              <w:jc w:val="center"/>
            </w:pPr>
            <w:r w:rsidRPr="00915C7C">
              <w:rPr>
                <w:i/>
              </w:rPr>
              <w:t>P</w:t>
            </w:r>
            <w:r w:rsidRPr="00915C7C">
              <w:t>-valor</w:t>
            </w:r>
          </w:p>
        </w:tc>
      </w:tr>
      <w:tr w:rsidR="001505AB" w:rsidRPr="00915C7C" w:rsidTr="00BF12C5">
        <w:trPr>
          <w:trHeight w:val="73"/>
          <w:jc w:val="center"/>
        </w:trPr>
        <w:tc>
          <w:tcPr>
            <w:tcW w:w="2439" w:type="pct"/>
            <w:tcBorders>
              <w:top w:val="single" w:sz="4" w:space="0" w:color="auto"/>
            </w:tcBorders>
            <w:vAlign w:val="center"/>
          </w:tcPr>
          <w:p w:rsidR="001505AB" w:rsidRPr="00915C7C" w:rsidRDefault="001505AB" w:rsidP="00915C7C">
            <w:pPr>
              <w:spacing w:after="0" w:line="360" w:lineRule="auto"/>
            </w:pPr>
            <w:r w:rsidRPr="00915C7C">
              <w:rPr>
                <w:color w:val="000000"/>
              </w:rPr>
              <w:t>GSH</w:t>
            </w:r>
            <w:r w:rsidRPr="00915C7C">
              <w:t xml:space="preserve"> (nmol.mg</w:t>
            </w:r>
            <w:r w:rsidRPr="00915C7C">
              <w:rPr>
                <w:vertAlign w:val="superscript"/>
              </w:rPr>
              <w:t>-1</w:t>
            </w:r>
            <w:r w:rsidRPr="00915C7C">
              <w:t>)</w:t>
            </w:r>
          </w:p>
        </w:tc>
        <w:tc>
          <w:tcPr>
            <w:tcW w:w="896" w:type="pct"/>
            <w:tcBorders>
              <w:top w:val="single" w:sz="4" w:space="0" w:color="auto"/>
            </w:tcBorders>
            <w:vAlign w:val="center"/>
          </w:tcPr>
          <w:p w:rsidR="001505AB" w:rsidRPr="00915C7C" w:rsidRDefault="001505AB" w:rsidP="00915C7C">
            <w:pPr>
              <w:spacing w:after="0" w:line="360" w:lineRule="auto"/>
              <w:jc w:val="center"/>
            </w:pPr>
            <w:r w:rsidRPr="00915C7C">
              <w:t>15,48 ±1,23</w:t>
            </w:r>
            <w:r w:rsidRPr="00915C7C">
              <w:rPr>
                <w:vertAlign w:val="superscript"/>
              </w:rPr>
              <w:t>a</w:t>
            </w:r>
          </w:p>
        </w:tc>
        <w:tc>
          <w:tcPr>
            <w:tcW w:w="876" w:type="pct"/>
            <w:tcBorders>
              <w:top w:val="single" w:sz="4" w:space="0" w:color="auto"/>
            </w:tcBorders>
            <w:vAlign w:val="center"/>
          </w:tcPr>
          <w:p w:rsidR="001505AB" w:rsidRPr="00915C7C" w:rsidRDefault="001505AB" w:rsidP="00915C7C">
            <w:pPr>
              <w:spacing w:after="0" w:line="360" w:lineRule="auto"/>
              <w:jc w:val="center"/>
            </w:pPr>
            <w:r w:rsidRPr="00915C7C">
              <w:t>11,82 ±1,13</w:t>
            </w:r>
            <w:r w:rsidRPr="00915C7C">
              <w:rPr>
                <w:vertAlign w:val="superscript"/>
              </w:rPr>
              <w:t>b</w:t>
            </w:r>
          </w:p>
        </w:tc>
        <w:tc>
          <w:tcPr>
            <w:tcW w:w="382" w:type="pct"/>
            <w:tcBorders>
              <w:top w:val="single" w:sz="4" w:space="0" w:color="auto"/>
            </w:tcBorders>
            <w:vAlign w:val="center"/>
          </w:tcPr>
          <w:p w:rsidR="001505AB" w:rsidRPr="00915C7C" w:rsidRDefault="001505AB" w:rsidP="00915C7C">
            <w:pPr>
              <w:spacing w:after="0" w:line="360" w:lineRule="auto"/>
              <w:jc w:val="center"/>
            </w:pPr>
            <w:r w:rsidRPr="00915C7C">
              <w:t>0,222</w:t>
            </w:r>
          </w:p>
        </w:tc>
        <w:tc>
          <w:tcPr>
            <w:tcW w:w="406" w:type="pct"/>
            <w:tcBorders>
              <w:top w:val="single" w:sz="4" w:space="0" w:color="auto"/>
            </w:tcBorders>
            <w:vAlign w:val="center"/>
          </w:tcPr>
          <w:p w:rsidR="001505AB" w:rsidRPr="00915C7C" w:rsidRDefault="001505AB" w:rsidP="00915C7C">
            <w:pPr>
              <w:spacing w:after="0" w:line="360" w:lineRule="auto"/>
              <w:jc w:val="center"/>
              <w:rPr>
                <w:color w:val="000000"/>
              </w:rPr>
            </w:pPr>
            <w:r w:rsidRPr="00915C7C">
              <w:rPr>
                <w:color w:val="000000"/>
              </w:rPr>
              <w:t>&lt;0,001</w:t>
            </w:r>
          </w:p>
        </w:tc>
      </w:tr>
      <w:tr w:rsidR="001505AB" w:rsidRPr="00915C7C" w:rsidTr="00BF12C5">
        <w:trPr>
          <w:trHeight w:val="74"/>
          <w:jc w:val="center"/>
        </w:trPr>
        <w:tc>
          <w:tcPr>
            <w:tcW w:w="2439" w:type="pct"/>
            <w:vAlign w:val="center"/>
          </w:tcPr>
          <w:p w:rsidR="001505AB" w:rsidRPr="00915C7C" w:rsidRDefault="001505AB" w:rsidP="00915C7C">
            <w:pPr>
              <w:spacing w:after="0" w:line="360" w:lineRule="auto"/>
            </w:pPr>
            <w:r w:rsidRPr="00915C7C">
              <w:t>TAC (mmol equivalente TROLOX.mg proteína</w:t>
            </w:r>
            <w:r w:rsidRPr="00915C7C">
              <w:rPr>
                <w:vertAlign w:val="superscript"/>
              </w:rPr>
              <w:t>-1</w:t>
            </w:r>
            <w:r w:rsidRPr="00915C7C">
              <w:t>)</w:t>
            </w:r>
          </w:p>
        </w:tc>
        <w:tc>
          <w:tcPr>
            <w:tcW w:w="896" w:type="pct"/>
            <w:vAlign w:val="center"/>
          </w:tcPr>
          <w:p w:rsidR="001505AB" w:rsidRPr="00915C7C" w:rsidRDefault="001505AB" w:rsidP="00915C7C">
            <w:pPr>
              <w:spacing w:after="0" w:line="360" w:lineRule="auto"/>
              <w:jc w:val="center"/>
            </w:pPr>
            <w:r w:rsidRPr="00915C7C">
              <w:t>11,64 ±1,00</w:t>
            </w:r>
            <w:r w:rsidRPr="00915C7C">
              <w:rPr>
                <w:vertAlign w:val="superscript"/>
              </w:rPr>
              <w:t>a</w:t>
            </w:r>
          </w:p>
        </w:tc>
        <w:tc>
          <w:tcPr>
            <w:tcW w:w="876" w:type="pct"/>
            <w:vAlign w:val="center"/>
          </w:tcPr>
          <w:p w:rsidR="001505AB" w:rsidRPr="00915C7C" w:rsidRDefault="001505AB" w:rsidP="00915C7C">
            <w:pPr>
              <w:spacing w:after="0" w:line="360" w:lineRule="auto"/>
              <w:jc w:val="center"/>
            </w:pPr>
            <w:r w:rsidRPr="00915C7C">
              <w:t>9,96 ±0,52</w:t>
            </w:r>
            <w:r w:rsidRPr="00915C7C">
              <w:rPr>
                <w:vertAlign w:val="superscript"/>
              </w:rPr>
              <w:t>b</w:t>
            </w:r>
          </w:p>
        </w:tc>
        <w:tc>
          <w:tcPr>
            <w:tcW w:w="382" w:type="pct"/>
            <w:vAlign w:val="center"/>
          </w:tcPr>
          <w:p w:rsidR="001505AB" w:rsidRPr="00915C7C" w:rsidRDefault="001505AB" w:rsidP="00915C7C">
            <w:pPr>
              <w:spacing w:after="0" w:line="360" w:lineRule="auto"/>
              <w:jc w:val="center"/>
            </w:pPr>
            <w:r w:rsidRPr="00915C7C">
              <w:t>0,143</w:t>
            </w:r>
          </w:p>
        </w:tc>
        <w:tc>
          <w:tcPr>
            <w:tcW w:w="406" w:type="pct"/>
            <w:vAlign w:val="center"/>
          </w:tcPr>
          <w:p w:rsidR="001505AB" w:rsidRPr="00915C7C" w:rsidRDefault="001505AB" w:rsidP="00915C7C">
            <w:pPr>
              <w:spacing w:after="0" w:line="360" w:lineRule="auto"/>
              <w:jc w:val="center"/>
              <w:rPr>
                <w:color w:val="000000"/>
              </w:rPr>
            </w:pPr>
            <w:r w:rsidRPr="00915C7C">
              <w:rPr>
                <w:color w:val="000000"/>
              </w:rPr>
              <w:t>&lt;0,001</w:t>
            </w:r>
          </w:p>
        </w:tc>
      </w:tr>
      <w:tr w:rsidR="001505AB" w:rsidRPr="00915C7C" w:rsidTr="00BF12C5">
        <w:trPr>
          <w:trHeight w:val="100"/>
          <w:jc w:val="center"/>
        </w:trPr>
        <w:tc>
          <w:tcPr>
            <w:tcW w:w="2439" w:type="pct"/>
            <w:vAlign w:val="center"/>
          </w:tcPr>
          <w:p w:rsidR="001505AB" w:rsidRPr="00915C7C" w:rsidRDefault="001505AB" w:rsidP="00915C7C">
            <w:pPr>
              <w:spacing w:after="0" w:line="360" w:lineRule="auto"/>
            </w:pPr>
            <w:r w:rsidRPr="00915C7C">
              <w:t>Tióis (nmol.mg proteína</w:t>
            </w:r>
            <w:r w:rsidRPr="00915C7C">
              <w:rPr>
                <w:vertAlign w:val="superscript"/>
              </w:rPr>
              <w:t>-1</w:t>
            </w:r>
            <w:r w:rsidRPr="00915C7C">
              <w:t>)</w:t>
            </w:r>
          </w:p>
        </w:tc>
        <w:tc>
          <w:tcPr>
            <w:tcW w:w="896" w:type="pct"/>
            <w:vAlign w:val="center"/>
          </w:tcPr>
          <w:p w:rsidR="001505AB" w:rsidRPr="00915C7C" w:rsidRDefault="001505AB" w:rsidP="00915C7C">
            <w:pPr>
              <w:spacing w:after="0" w:line="360" w:lineRule="auto"/>
              <w:jc w:val="center"/>
            </w:pPr>
            <w:r w:rsidRPr="00915C7C">
              <w:t>489,66 ±92,15</w:t>
            </w:r>
            <w:r w:rsidRPr="00915C7C">
              <w:rPr>
                <w:vertAlign w:val="superscript"/>
              </w:rPr>
              <w:t>a</w:t>
            </w:r>
          </w:p>
        </w:tc>
        <w:tc>
          <w:tcPr>
            <w:tcW w:w="876" w:type="pct"/>
            <w:vAlign w:val="center"/>
          </w:tcPr>
          <w:p w:rsidR="001505AB" w:rsidRPr="00915C7C" w:rsidRDefault="001505AB" w:rsidP="00915C7C">
            <w:pPr>
              <w:spacing w:after="0" w:line="360" w:lineRule="auto"/>
              <w:jc w:val="center"/>
            </w:pPr>
            <w:r w:rsidRPr="00915C7C">
              <w:t>322,89 ±48,17</w:t>
            </w:r>
            <w:r w:rsidRPr="00915C7C">
              <w:rPr>
                <w:vertAlign w:val="superscript"/>
              </w:rPr>
              <w:t>b</w:t>
            </w:r>
          </w:p>
        </w:tc>
        <w:tc>
          <w:tcPr>
            <w:tcW w:w="382" w:type="pct"/>
            <w:vAlign w:val="center"/>
          </w:tcPr>
          <w:p w:rsidR="001505AB" w:rsidRPr="00915C7C" w:rsidRDefault="001505AB" w:rsidP="00915C7C">
            <w:pPr>
              <w:spacing w:after="0" w:line="360" w:lineRule="auto"/>
              <w:jc w:val="center"/>
            </w:pPr>
            <w:r w:rsidRPr="00915C7C">
              <w:t>13,271</w:t>
            </w:r>
          </w:p>
        </w:tc>
        <w:tc>
          <w:tcPr>
            <w:tcW w:w="406" w:type="pct"/>
            <w:vAlign w:val="center"/>
          </w:tcPr>
          <w:p w:rsidR="001505AB" w:rsidRPr="00915C7C" w:rsidRDefault="001505AB" w:rsidP="00915C7C">
            <w:pPr>
              <w:spacing w:after="0" w:line="360" w:lineRule="auto"/>
              <w:jc w:val="center"/>
              <w:rPr>
                <w:color w:val="000000"/>
              </w:rPr>
            </w:pPr>
            <w:r w:rsidRPr="00915C7C">
              <w:rPr>
                <w:color w:val="000000"/>
              </w:rPr>
              <w:t>&lt;0,001</w:t>
            </w:r>
          </w:p>
        </w:tc>
      </w:tr>
      <w:tr w:rsidR="001505AB" w:rsidRPr="00915C7C" w:rsidTr="00BF12C5">
        <w:trPr>
          <w:trHeight w:val="274"/>
          <w:jc w:val="center"/>
        </w:trPr>
        <w:tc>
          <w:tcPr>
            <w:tcW w:w="2439" w:type="pct"/>
            <w:tcBorders>
              <w:bottom w:val="single" w:sz="4" w:space="0" w:color="auto"/>
            </w:tcBorders>
            <w:vAlign w:val="center"/>
          </w:tcPr>
          <w:p w:rsidR="001505AB" w:rsidRPr="00915C7C" w:rsidRDefault="001505AB" w:rsidP="00915C7C">
            <w:pPr>
              <w:spacing w:after="0" w:line="360" w:lineRule="auto"/>
            </w:pPr>
            <w:r w:rsidRPr="00915C7C">
              <w:t>Proteínas carboniladas (nmol.mg proteína</w:t>
            </w:r>
            <w:r w:rsidRPr="00915C7C">
              <w:rPr>
                <w:vertAlign w:val="superscript"/>
              </w:rPr>
              <w:t>-1</w:t>
            </w:r>
            <w:r w:rsidRPr="00915C7C">
              <w:t>)</w:t>
            </w:r>
          </w:p>
        </w:tc>
        <w:tc>
          <w:tcPr>
            <w:tcW w:w="896" w:type="pct"/>
            <w:tcBorders>
              <w:bottom w:val="single" w:sz="4" w:space="0" w:color="auto"/>
            </w:tcBorders>
            <w:vAlign w:val="center"/>
          </w:tcPr>
          <w:p w:rsidR="001505AB" w:rsidRPr="00915C7C" w:rsidRDefault="001505AB" w:rsidP="00915C7C">
            <w:pPr>
              <w:spacing w:after="0" w:line="360" w:lineRule="auto"/>
              <w:jc w:val="center"/>
            </w:pPr>
            <w:r w:rsidRPr="00915C7C">
              <w:t>5,43 ±0,58</w:t>
            </w:r>
            <w:r w:rsidRPr="00915C7C">
              <w:rPr>
                <w:vertAlign w:val="superscript"/>
              </w:rPr>
              <w:t>b</w:t>
            </w:r>
          </w:p>
        </w:tc>
        <w:tc>
          <w:tcPr>
            <w:tcW w:w="876" w:type="pct"/>
            <w:tcBorders>
              <w:bottom w:val="single" w:sz="4" w:space="0" w:color="auto"/>
            </w:tcBorders>
            <w:vAlign w:val="center"/>
          </w:tcPr>
          <w:p w:rsidR="001505AB" w:rsidRPr="00915C7C" w:rsidRDefault="001505AB" w:rsidP="00915C7C">
            <w:pPr>
              <w:spacing w:after="0" w:line="360" w:lineRule="auto"/>
              <w:jc w:val="center"/>
            </w:pPr>
            <w:r w:rsidRPr="00915C7C">
              <w:t>6,24 ±0,57</w:t>
            </w:r>
            <w:r w:rsidRPr="00915C7C">
              <w:rPr>
                <w:vertAlign w:val="superscript"/>
              </w:rPr>
              <w:t>a</w:t>
            </w:r>
          </w:p>
        </w:tc>
        <w:tc>
          <w:tcPr>
            <w:tcW w:w="382" w:type="pct"/>
            <w:tcBorders>
              <w:bottom w:val="single" w:sz="4" w:space="0" w:color="auto"/>
            </w:tcBorders>
            <w:vAlign w:val="center"/>
          </w:tcPr>
          <w:p w:rsidR="001505AB" w:rsidRPr="00915C7C" w:rsidRDefault="001505AB" w:rsidP="00915C7C">
            <w:pPr>
              <w:spacing w:after="0" w:line="360" w:lineRule="auto"/>
              <w:jc w:val="center"/>
            </w:pPr>
            <w:r w:rsidRPr="00915C7C">
              <w:t>0,108</w:t>
            </w:r>
          </w:p>
        </w:tc>
        <w:tc>
          <w:tcPr>
            <w:tcW w:w="406" w:type="pct"/>
            <w:tcBorders>
              <w:bottom w:val="single" w:sz="4" w:space="0" w:color="auto"/>
            </w:tcBorders>
            <w:vAlign w:val="center"/>
          </w:tcPr>
          <w:p w:rsidR="001505AB" w:rsidRPr="00915C7C" w:rsidRDefault="001505AB" w:rsidP="00915C7C">
            <w:pPr>
              <w:spacing w:after="0" w:line="360" w:lineRule="auto"/>
              <w:jc w:val="center"/>
              <w:rPr>
                <w:color w:val="000000"/>
              </w:rPr>
            </w:pPr>
            <w:r w:rsidRPr="00915C7C">
              <w:rPr>
                <w:color w:val="000000"/>
              </w:rPr>
              <w:t>0,001</w:t>
            </w:r>
          </w:p>
        </w:tc>
      </w:tr>
    </w:tbl>
    <w:p w:rsidR="001505AB" w:rsidRPr="00934AF2" w:rsidRDefault="001505AB" w:rsidP="00915C7C">
      <w:pPr>
        <w:autoSpaceDE w:val="0"/>
        <w:autoSpaceDN w:val="0"/>
        <w:adjustRightInd w:val="0"/>
        <w:spacing w:after="0" w:line="360" w:lineRule="auto"/>
        <w:jc w:val="both"/>
        <w:rPr>
          <w:sz w:val="20"/>
          <w:szCs w:val="20"/>
        </w:rPr>
      </w:pPr>
      <w:r w:rsidRPr="00934AF2">
        <w:rPr>
          <w:sz w:val="20"/>
          <w:szCs w:val="20"/>
        </w:rPr>
        <w:t>1- Desvio-padrão.</w:t>
      </w:r>
    </w:p>
    <w:p w:rsidR="001505AB" w:rsidRPr="00934AF2" w:rsidRDefault="001505AB" w:rsidP="00915C7C">
      <w:pPr>
        <w:autoSpaceDE w:val="0"/>
        <w:autoSpaceDN w:val="0"/>
        <w:adjustRightInd w:val="0"/>
        <w:spacing w:after="0" w:line="360" w:lineRule="auto"/>
        <w:jc w:val="both"/>
        <w:rPr>
          <w:sz w:val="20"/>
          <w:szCs w:val="20"/>
        </w:rPr>
      </w:pPr>
      <w:r w:rsidRPr="00934AF2">
        <w:rPr>
          <w:sz w:val="20"/>
          <w:szCs w:val="20"/>
        </w:rPr>
        <w:t xml:space="preserve">2- Médias seguidas por letras distintas, na linha, diferem entre si pelo teste F.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3- Aplicação subcutânea de Adjuvante Completo de Freund</w:t>
      </w:r>
      <w:r w:rsidRPr="00934AF2">
        <w:rPr>
          <w:sz w:val="20"/>
          <w:szCs w:val="20"/>
          <w:vertAlign w:val="superscript"/>
        </w:rPr>
        <w:t>®</w:t>
      </w:r>
      <w:r w:rsidRPr="00934AF2">
        <w:rPr>
          <w:sz w:val="20"/>
          <w:szCs w:val="20"/>
        </w:rPr>
        <w:t xml:space="preserve"> na articulação tarso-falange direita, aos 7, 14 e 21 </w:t>
      </w:r>
      <w:r w:rsidRPr="00934AF2">
        <w:rPr>
          <w:color w:val="000000"/>
          <w:sz w:val="20"/>
          <w:szCs w:val="20"/>
        </w:rPr>
        <w:t xml:space="preserve">dias de idade (0,300 mL/animal).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4- Aplicação subcutânea de Soro Fisiológico (0,9%) na articulação tarso-falange direita, aos 7, 14 e 21 dias</w:t>
      </w:r>
      <w:r w:rsidRPr="00934AF2">
        <w:rPr>
          <w:color w:val="000000"/>
          <w:sz w:val="20"/>
          <w:szCs w:val="20"/>
        </w:rPr>
        <w:t xml:space="preserve"> de idade (0,300 mL/animal).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 xml:space="preserve">5- </w:t>
      </w:r>
      <w:r w:rsidRPr="00934AF2">
        <w:rPr>
          <w:color w:val="000000"/>
          <w:sz w:val="20"/>
          <w:szCs w:val="20"/>
        </w:rPr>
        <w:t>Erro padrão da média.</w:t>
      </w:r>
    </w:p>
    <w:p w:rsidR="00153041" w:rsidRPr="00915C7C" w:rsidRDefault="00153041" w:rsidP="00915C7C">
      <w:pPr>
        <w:autoSpaceDE w:val="0"/>
        <w:autoSpaceDN w:val="0"/>
        <w:adjustRightInd w:val="0"/>
        <w:spacing w:after="0" w:line="360" w:lineRule="auto"/>
        <w:jc w:val="both"/>
      </w:pPr>
    </w:p>
    <w:p w:rsidR="00F37FC5" w:rsidRPr="00915C7C" w:rsidRDefault="005751A3" w:rsidP="00915C7C">
      <w:pPr>
        <w:autoSpaceDE w:val="0"/>
        <w:autoSpaceDN w:val="0"/>
        <w:adjustRightInd w:val="0"/>
        <w:spacing w:after="0" w:line="360" w:lineRule="auto"/>
        <w:ind w:firstLine="567"/>
        <w:jc w:val="both"/>
      </w:pPr>
      <w:r w:rsidRPr="00915C7C">
        <w:lastRenderedPageBreak/>
        <w:t>Quanto à TAC, o protocolo positivo teve um valor significativamente baixo</w:t>
      </w:r>
      <w:r w:rsidR="00EF4718" w:rsidRPr="00915C7C">
        <w:t xml:space="preserve"> (P&lt;0,05)</w:t>
      </w:r>
      <w:r w:rsidRPr="00915C7C">
        <w:t xml:space="preserve"> em comparação ao controle. </w:t>
      </w:r>
      <w:r w:rsidR="00185BD0" w:rsidRPr="00915C7C">
        <w:t>A TAC, p</w:t>
      </w:r>
      <w:r w:rsidRPr="00915C7C">
        <w:t xml:space="preserve">or indicar a capacidade antioxidante total de uma amostra, ou seja, </w:t>
      </w:r>
      <w:r w:rsidR="00185BD0" w:rsidRPr="00915C7C">
        <w:t xml:space="preserve">a </w:t>
      </w:r>
      <w:r w:rsidRPr="00915C7C">
        <w:t>soma</w:t>
      </w:r>
      <w:r w:rsidR="00185BD0" w:rsidRPr="00915C7C">
        <w:t xml:space="preserve"> de</w:t>
      </w:r>
      <w:r w:rsidRPr="00915C7C">
        <w:t xml:space="preserve"> diversas moléculas com função antioxidante (</w:t>
      </w:r>
      <w:r w:rsidR="007E622B" w:rsidRPr="00915C7C">
        <w:t>FERRARI</w:t>
      </w:r>
      <w:r w:rsidRPr="00915C7C">
        <w:t>, 20</w:t>
      </w:r>
      <w:r w:rsidR="007E622B" w:rsidRPr="00915C7C">
        <w:t>10</w:t>
      </w:r>
      <w:r w:rsidRPr="00915C7C">
        <w:t xml:space="preserve">), </w:t>
      </w:r>
      <w:r w:rsidR="00EF4718" w:rsidRPr="00915C7C">
        <w:t xml:space="preserve">resultou em queda </w:t>
      </w:r>
      <w:r w:rsidR="00185BD0" w:rsidRPr="00915C7C">
        <w:t xml:space="preserve">provavelmente </w:t>
      </w:r>
      <w:r w:rsidR="00EF4718" w:rsidRPr="00915C7C">
        <w:t xml:space="preserve">porque </w:t>
      </w:r>
      <w:r w:rsidR="00185BD0" w:rsidRPr="00915C7C">
        <w:t xml:space="preserve">as enzimas </w:t>
      </w:r>
      <w:r w:rsidR="00956402" w:rsidRPr="00915C7C">
        <w:t xml:space="preserve">antioxidantes estão sendo consumidas, </w:t>
      </w:r>
      <w:r w:rsidR="00EF4718" w:rsidRPr="00915C7C">
        <w:t xml:space="preserve">o que </w:t>
      </w:r>
      <w:r w:rsidR="00956402" w:rsidRPr="00915C7C">
        <w:t>explic</w:t>
      </w:r>
      <w:r w:rsidR="00EF4718" w:rsidRPr="00915C7C">
        <w:t>a</w:t>
      </w:r>
      <w:r w:rsidR="00956402" w:rsidRPr="00915C7C">
        <w:t xml:space="preserve"> o </w:t>
      </w:r>
      <w:r w:rsidR="00EF4718" w:rsidRPr="00915C7C">
        <w:t xml:space="preserve">menor </w:t>
      </w:r>
      <w:r w:rsidR="00956402" w:rsidRPr="00915C7C">
        <w:t>valor no protocolo positivo</w:t>
      </w:r>
      <w:r w:rsidRPr="00915C7C">
        <w:t xml:space="preserve">. Resultados semelhantes foram obtidos por Bracht </w:t>
      </w:r>
      <w:r w:rsidRPr="00915C7C">
        <w:rPr>
          <w:i/>
          <w:iCs/>
        </w:rPr>
        <w:t>et al</w:t>
      </w:r>
      <w:r w:rsidRPr="00915C7C">
        <w:t>. (2016) ao avaliar o sangue de ratos poliartríticos.</w:t>
      </w:r>
    </w:p>
    <w:p w:rsidR="00281FAC" w:rsidRPr="00915C7C" w:rsidRDefault="00281FAC" w:rsidP="00915C7C">
      <w:pPr>
        <w:autoSpaceDE w:val="0"/>
        <w:autoSpaceDN w:val="0"/>
        <w:adjustRightInd w:val="0"/>
        <w:spacing w:after="0" w:line="360" w:lineRule="auto"/>
        <w:ind w:firstLine="567"/>
        <w:jc w:val="both"/>
      </w:pPr>
    </w:p>
    <w:tbl>
      <w:tblPr>
        <w:tblW w:w="8504" w:type="dxa"/>
        <w:tblLayout w:type="fixed"/>
        <w:tblLook w:val="04A0" w:firstRow="1" w:lastRow="0" w:firstColumn="1" w:lastColumn="0" w:noHBand="0" w:noVBand="1"/>
      </w:tblPr>
      <w:tblGrid>
        <w:gridCol w:w="4252"/>
        <w:gridCol w:w="4252"/>
      </w:tblGrid>
      <w:tr w:rsidR="00F37FC5" w:rsidRPr="00915C7C">
        <w:tc>
          <w:tcPr>
            <w:tcW w:w="4252" w:type="dxa"/>
            <w:vAlign w:val="center"/>
          </w:tcPr>
          <w:p w:rsidR="00F37FC5" w:rsidRPr="00915C7C" w:rsidRDefault="001D4EFA" w:rsidP="00677B8A">
            <w:pPr>
              <w:pStyle w:val="Recuodecorpodetexto"/>
              <w:tabs>
                <w:tab w:val="left" w:pos="0"/>
              </w:tabs>
              <w:spacing w:after="0" w:line="360" w:lineRule="auto"/>
              <w:ind w:right="-4"/>
              <w:jc w:val="center"/>
              <w:outlineLvl w:val="0"/>
              <w:rPr>
                <w:b/>
                <w:bCs/>
                <w:color w:val="0D0D0D"/>
                <w:kern w:val="28"/>
              </w:rPr>
            </w:pPr>
            <w:r w:rsidRPr="00915C7C">
              <w:rPr>
                <w:bCs/>
                <w:kern w:val="28"/>
              </w:rPr>
              <w:object w:dxaOrig="6066" w:dyaOrig="4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8.5pt" o:ole="">
                  <v:imagedata r:id="rId12" o:title=""/>
                </v:shape>
                <o:OLEObject Type="Embed" ProgID="Prism5.Document" ShapeID="_x0000_i1025" DrawAspect="Content" ObjectID="_1662623479" r:id="rId13"/>
              </w:object>
            </w:r>
          </w:p>
        </w:tc>
        <w:tc>
          <w:tcPr>
            <w:tcW w:w="4252" w:type="dxa"/>
            <w:vAlign w:val="center"/>
          </w:tcPr>
          <w:p w:rsidR="00F37FC5" w:rsidRPr="00915C7C" w:rsidRDefault="001D4EFA" w:rsidP="00915C7C">
            <w:pPr>
              <w:pStyle w:val="Recuodecorpodetexto"/>
              <w:tabs>
                <w:tab w:val="left" w:pos="0"/>
                <w:tab w:val="left" w:pos="2805"/>
              </w:tabs>
              <w:spacing w:after="0" w:line="360" w:lineRule="auto"/>
              <w:jc w:val="center"/>
              <w:outlineLvl w:val="0"/>
              <w:rPr>
                <w:b/>
                <w:bCs/>
                <w:color w:val="0D0D0D"/>
                <w:kern w:val="28"/>
              </w:rPr>
            </w:pPr>
            <w:r w:rsidRPr="00915C7C">
              <w:rPr>
                <w:bCs/>
                <w:kern w:val="28"/>
              </w:rPr>
              <w:object w:dxaOrig="6406" w:dyaOrig="4592">
                <v:shape id="_x0000_i1026" type="#_x0000_t75" style="width:246pt;height:175.5pt" o:ole="">
                  <v:imagedata r:id="rId14" o:title=""/>
                </v:shape>
                <o:OLEObject Type="Embed" ProgID="Prism5.Document" ShapeID="_x0000_i1026" DrawAspect="Content" ObjectID="_1662623480" r:id="rId15"/>
              </w:object>
            </w:r>
          </w:p>
        </w:tc>
      </w:tr>
      <w:tr w:rsidR="00F37FC5" w:rsidRPr="00915C7C">
        <w:tc>
          <w:tcPr>
            <w:tcW w:w="4252" w:type="dxa"/>
            <w:vAlign w:val="center"/>
          </w:tcPr>
          <w:p w:rsidR="00F37FC5" w:rsidRPr="00915C7C" w:rsidRDefault="001D4EFA" w:rsidP="00915C7C">
            <w:pPr>
              <w:pStyle w:val="Recuodecorpodetexto"/>
              <w:tabs>
                <w:tab w:val="left" w:pos="0"/>
              </w:tabs>
              <w:spacing w:after="0" w:line="360" w:lineRule="auto"/>
              <w:jc w:val="center"/>
              <w:outlineLvl w:val="0"/>
              <w:rPr>
                <w:b/>
                <w:bCs/>
                <w:color w:val="0D0D0D"/>
                <w:kern w:val="28"/>
              </w:rPr>
            </w:pPr>
            <w:r w:rsidRPr="00915C7C">
              <w:rPr>
                <w:bCs/>
                <w:kern w:val="28"/>
              </w:rPr>
              <w:object w:dxaOrig="6236" w:dyaOrig="4989">
                <v:shape id="_x0000_i1027" type="#_x0000_t75" style="width:229.5pt;height:184.5pt" o:ole="">
                  <v:imagedata r:id="rId16" o:title=""/>
                </v:shape>
                <o:OLEObject Type="Embed" ProgID="Prism5.Document" ShapeID="_x0000_i1027" DrawAspect="Content" ObjectID="_1662623481" r:id="rId17"/>
              </w:object>
            </w:r>
          </w:p>
        </w:tc>
        <w:tc>
          <w:tcPr>
            <w:tcW w:w="4252" w:type="dxa"/>
            <w:vAlign w:val="center"/>
          </w:tcPr>
          <w:p w:rsidR="00F37FC5" w:rsidRPr="00915C7C" w:rsidRDefault="001D4EFA" w:rsidP="00915C7C">
            <w:pPr>
              <w:pStyle w:val="Recuodecorpodetexto"/>
              <w:tabs>
                <w:tab w:val="left" w:pos="0"/>
              </w:tabs>
              <w:spacing w:after="0" w:line="360" w:lineRule="auto"/>
              <w:jc w:val="center"/>
              <w:outlineLvl w:val="0"/>
              <w:rPr>
                <w:b/>
                <w:bCs/>
                <w:color w:val="0D0D0D"/>
                <w:kern w:val="28"/>
              </w:rPr>
            </w:pPr>
            <w:r w:rsidRPr="00915C7C">
              <w:rPr>
                <w:bCs/>
                <w:kern w:val="28"/>
              </w:rPr>
              <w:object w:dxaOrig="6236" w:dyaOrig="4592">
                <v:shape id="_x0000_i1028" type="#_x0000_t75" style="width:234pt;height:171pt" o:ole="">
                  <v:imagedata r:id="rId18" o:title=""/>
                </v:shape>
                <o:OLEObject Type="Embed" ProgID="Prism5.Document" ShapeID="_x0000_i1028" DrawAspect="Content" ObjectID="_1662623482" r:id="rId19"/>
              </w:object>
            </w:r>
          </w:p>
        </w:tc>
      </w:tr>
    </w:tbl>
    <w:p w:rsidR="00F37FC5" w:rsidRPr="00915C7C" w:rsidRDefault="005751A3" w:rsidP="00677B8A">
      <w:pPr>
        <w:pStyle w:val="Recuodecorpodetexto"/>
        <w:tabs>
          <w:tab w:val="left" w:pos="0"/>
          <w:tab w:val="left" w:pos="142"/>
        </w:tabs>
        <w:spacing w:after="0" w:line="360" w:lineRule="auto"/>
        <w:jc w:val="both"/>
        <w:rPr>
          <w:color w:val="0D0D0D"/>
        </w:rPr>
      </w:pPr>
      <w:r w:rsidRPr="00915C7C">
        <w:rPr>
          <w:b/>
          <w:color w:val="0D0D0D"/>
        </w:rPr>
        <w:t xml:space="preserve">Figura </w:t>
      </w:r>
      <w:r w:rsidR="00934AF2">
        <w:rPr>
          <w:b/>
          <w:color w:val="0D0D0D"/>
          <w:lang w:val="pt-BR"/>
        </w:rPr>
        <w:t>2</w:t>
      </w:r>
      <w:r w:rsidRPr="00915C7C">
        <w:rPr>
          <w:b/>
          <w:color w:val="0D0D0D"/>
        </w:rPr>
        <w:t xml:space="preserve">. </w:t>
      </w:r>
      <w:r w:rsidRPr="00915C7C">
        <w:rPr>
          <w:color w:val="000000"/>
        </w:rPr>
        <w:t xml:space="preserve">GSH, </w:t>
      </w:r>
      <w:r w:rsidRPr="00915C7C">
        <w:rPr>
          <w:i/>
        </w:rPr>
        <w:t>nmol.mg</w:t>
      </w:r>
      <w:r w:rsidRPr="00915C7C">
        <w:rPr>
          <w:i/>
          <w:vertAlign w:val="superscript"/>
        </w:rPr>
        <w:t xml:space="preserve">-1 </w:t>
      </w:r>
      <w:r w:rsidRPr="00915C7C">
        <w:t xml:space="preserve">(A); TAC, </w:t>
      </w:r>
      <w:r w:rsidRPr="00915C7C">
        <w:rPr>
          <w:i/>
        </w:rPr>
        <w:t>mmol equivalente TROLOX.mg proteína</w:t>
      </w:r>
      <w:r w:rsidRPr="00915C7C">
        <w:rPr>
          <w:i/>
          <w:vertAlign w:val="superscript"/>
        </w:rPr>
        <w:t>-1</w:t>
      </w:r>
      <w:r w:rsidRPr="00915C7C">
        <w:t xml:space="preserve"> (B); Tióis, </w:t>
      </w:r>
      <w:r w:rsidRPr="00915C7C">
        <w:rPr>
          <w:i/>
        </w:rPr>
        <w:t>nmol.mg proteína</w:t>
      </w:r>
      <w:r w:rsidRPr="00915C7C">
        <w:rPr>
          <w:i/>
          <w:vertAlign w:val="superscript"/>
        </w:rPr>
        <w:t>-1</w:t>
      </w:r>
      <w:r w:rsidRPr="00915C7C">
        <w:t xml:space="preserve"> (C); Proteínas carboniladas, </w:t>
      </w:r>
      <w:r w:rsidRPr="00915C7C">
        <w:rPr>
          <w:i/>
        </w:rPr>
        <w:t>nmol.mg proteína</w:t>
      </w:r>
      <w:r w:rsidRPr="00915C7C">
        <w:rPr>
          <w:i/>
          <w:vertAlign w:val="superscript"/>
        </w:rPr>
        <w:t>-1</w:t>
      </w:r>
      <w:r w:rsidRPr="00915C7C">
        <w:t xml:space="preserve"> (D</w:t>
      </w:r>
      <w:r w:rsidR="00DF075C" w:rsidRPr="00915C7C">
        <w:rPr>
          <w:lang w:val="pt-BR"/>
        </w:rPr>
        <w:t xml:space="preserve">) </w:t>
      </w:r>
      <w:r w:rsidRPr="00915C7C">
        <w:t>no plasma d</w:t>
      </w:r>
      <w:r w:rsidRPr="00915C7C">
        <w:rPr>
          <w:color w:val="0D0D0D"/>
        </w:rPr>
        <w:t>e fêmeas suínas em fase inicial, com artrite induzida por adjuvante na fase de lactação.</w:t>
      </w:r>
    </w:p>
    <w:p w:rsidR="001505AB" w:rsidRPr="00915C7C" w:rsidRDefault="001505AB" w:rsidP="00915C7C">
      <w:pPr>
        <w:pStyle w:val="Recuodecorpodetexto"/>
        <w:tabs>
          <w:tab w:val="left" w:pos="142"/>
        </w:tabs>
        <w:spacing w:after="0" w:line="360" w:lineRule="auto"/>
        <w:ind w:left="993" w:right="-171" w:hanging="993"/>
        <w:jc w:val="both"/>
      </w:pPr>
    </w:p>
    <w:p w:rsidR="00934AF2" w:rsidRPr="00915C7C" w:rsidRDefault="00934AF2" w:rsidP="00934AF2">
      <w:pPr>
        <w:autoSpaceDE w:val="0"/>
        <w:autoSpaceDN w:val="0"/>
        <w:adjustRightInd w:val="0"/>
        <w:spacing w:after="0" w:line="360" w:lineRule="auto"/>
        <w:ind w:firstLine="567"/>
        <w:jc w:val="both"/>
      </w:pPr>
      <w:r w:rsidRPr="00915C7C">
        <w:t xml:space="preserve">A medida de avaliação de proteínas tióis leva em consideração a concentração dos compostos tióis presentes em aminoácidos e proteínas como homocisteína, cisteína, cisteilglicina, glutationa e albumina no plasma, que são compostos com potencial </w:t>
      </w:r>
      <w:r w:rsidRPr="00915C7C">
        <w:lastRenderedPageBreak/>
        <w:t xml:space="preserve">antioxidante. Nesse sentido, Gonçalves </w:t>
      </w:r>
      <w:r w:rsidRPr="00915C7C">
        <w:rPr>
          <w:i/>
          <w:iCs/>
        </w:rPr>
        <w:t>et al</w:t>
      </w:r>
      <w:r w:rsidRPr="00915C7C">
        <w:t>. (2017) também obtiveram resultados semelhantes para diminuição de grupos tióis. É provável que os animais submetidos ao protocolo de indução tiveram seus grupos tióis utilizados para combater as ERO.</w:t>
      </w:r>
    </w:p>
    <w:p w:rsidR="00281FAC" w:rsidRPr="00915C7C" w:rsidRDefault="00281FAC" w:rsidP="00915C7C">
      <w:pPr>
        <w:autoSpaceDE w:val="0"/>
        <w:autoSpaceDN w:val="0"/>
        <w:adjustRightInd w:val="0"/>
        <w:spacing w:after="0" w:line="360" w:lineRule="auto"/>
        <w:ind w:firstLine="567"/>
        <w:jc w:val="both"/>
      </w:pPr>
      <w:r w:rsidRPr="00915C7C">
        <w:t>Animais do protocolo positivo tiveram uma diferença significativa quanto às proteínas carboniladas. A produção dessas proteínas se dá pela modificação de proteínas ou aminoácidos induzida pelas ERO, onde devido à retirada de um H</w:t>
      </w:r>
      <w:r w:rsidRPr="00915C7C">
        <w:rPr>
          <w:vertAlign w:val="superscript"/>
        </w:rPr>
        <w:t>+</w:t>
      </w:r>
      <w:r w:rsidRPr="00915C7C">
        <w:t xml:space="preserve"> do carbono α da proteína, ocorre uma fragmentação e oxidação da cadeia, produzindo compostos carbonilados como aldeídos, cetonas e lactamas reativas (FEDOROVA; BOLLINENI; HOFFMAN, 2014; VASCONCELOS </w:t>
      </w:r>
      <w:r w:rsidRPr="00915C7C">
        <w:rPr>
          <w:i/>
          <w:iCs/>
        </w:rPr>
        <w:t>et al</w:t>
      </w:r>
      <w:r w:rsidRPr="00915C7C">
        <w:t xml:space="preserve">, 2007).  Resultados semelhantes foram encontrados por Mateen </w:t>
      </w:r>
      <w:r w:rsidRPr="00915C7C">
        <w:rPr>
          <w:i/>
          <w:iCs/>
        </w:rPr>
        <w:t>et al.</w:t>
      </w:r>
      <w:r w:rsidRPr="00915C7C">
        <w:t xml:space="preserve"> (2016), onde os valores para </w:t>
      </w:r>
      <w:r w:rsidR="00D54E7B" w:rsidRPr="00915C7C">
        <w:t>pacientes humanos</w:t>
      </w:r>
      <w:r w:rsidRPr="00915C7C">
        <w:t xml:space="preserve"> </w:t>
      </w:r>
      <w:r w:rsidR="00BF12C5">
        <w:t>com artrite reumato</w:t>
      </w:r>
      <w:r w:rsidR="00D54E7B" w:rsidRPr="00915C7C">
        <w:t>ide</w:t>
      </w:r>
      <w:r w:rsidRPr="00915C7C">
        <w:t xml:space="preserve"> foram significativamente maiores em comparação ao grupo controle, ao avaliar o plasma sanguíneos</w:t>
      </w:r>
      <w:r w:rsidR="00D54E7B" w:rsidRPr="00915C7C">
        <w:t xml:space="preserve">. </w:t>
      </w:r>
      <w:r w:rsidRPr="00915C7C">
        <w:t>Uma possível causa desse aumento é justamente o estresse oxidativo que estimula o processo de retirada de H</w:t>
      </w:r>
      <w:r w:rsidRPr="00915C7C">
        <w:rPr>
          <w:vertAlign w:val="superscript"/>
        </w:rPr>
        <w:t>+</w:t>
      </w:r>
      <w:r w:rsidRPr="00915C7C">
        <w:t xml:space="preserve"> do carbono α e, consequentemente, estimula a carbonilação das proteínas. De modo geral, as ERO realizam oxidação de macromoléculas como DNA, lipídeos de membrana e proteínas (COMAR </w:t>
      </w:r>
      <w:r w:rsidRPr="00915C7C">
        <w:rPr>
          <w:i/>
          <w:iCs/>
        </w:rPr>
        <w:t>et al</w:t>
      </w:r>
      <w:r w:rsidRPr="00915C7C">
        <w:t>., 2013).</w:t>
      </w:r>
    </w:p>
    <w:p w:rsidR="00BF12C5" w:rsidRDefault="0086768A" w:rsidP="00C30935">
      <w:pPr>
        <w:autoSpaceDE w:val="0"/>
        <w:autoSpaceDN w:val="0"/>
        <w:adjustRightInd w:val="0"/>
        <w:spacing w:after="0" w:line="360" w:lineRule="auto"/>
        <w:ind w:firstLine="567"/>
        <w:jc w:val="both"/>
      </w:pPr>
      <w:r w:rsidRPr="00915C7C">
        <w:t>A</w:t>
      </w:r>
      <w:r w:rsidR="005751A3" w:rsidRPr="00915C7C">
        <w:t>s variáveis do estado oxidativo no fígado diferiram em função dos protocolos avaliados (Tabela 2).</w:t>
      </w:r>
      <w:r w:rsidR="00934AF2">
        <w:t xml:space="preserve"> </w:t>
      </w:r>
    </w:p>
    <w:p w:rsidR="00C30935" w:rsidRPr="00915C7C" w:rsidRDefault="00C30935" w:rsidP="00C30935">
      <w:pPr>
        <w:autoSpaceDE w:val="0"/>
        <w:autoSpaceDN w:val="0"/>
        <w:adjustRightInd w:val="0"/>
        <w:spacing w:after="0" w:line="360" w:lineRule="auto"/>
        <w:ind w:firstLine="567"/>
        <w:jc w:val="both"/>
      </w:pPr>
    </w:p>
    <w:p w:rsidR="001505AB" w:rsidRPr="00915C7C" w:rsidRDefault="001505AB" w:rsidP="00677B8A">
      <w:pPr>
        <w:pStyle w:val="Recuodecorpodetexto"/>
        <w:tabs>
          <w:tab w:val="left" w:pos="0"/>
        </w:tabs>
        <w:spacing w:after="0" w:line="360" w:lineRule="auto"/>
        <w:ind w:right="-1"/>
        <w:jc w:val="both"/>
        <w:rPr>
          <w:color w:val="0D0D0D"/>
        </w:rPr>
      </w:pPr>
      <w:r w:rsidRPr="00915C7C">
        <w:rPr>
          <w:b/>
          <w:color w:val="0D0D0D"/>
        </w:rPr>
        <w:t xml:space="preserve">Tabela </w:t>
      </w:r>
      <w:r w:rsidRPr="00915C7C">
        <w:rPr>
          <w:b/>
          <w:color w:val="0D0D0D"/>
          <w:lang w:val="pt-BR"/>
        </w:rPr>
        <w:t>2</w:t>
      </w:r>
      <w:r w:rsidRPr="00915C7C">
        <w:rPr>
          <w:b/>
          <w:color w:val="0D0D0D"/>
        </w:rPr>
        <w:t xml:space="preserve">.  </w:t>
      </w:r>
      <w:r w:rsidRPr="00915C7C">
        <w:rPr>
          <w:color w:val="0D0D0D"/>
        </w:rPr>
        <w:t>Variáveis de estado oxidativo no fígado de fêmeas suínas em fase inicial, com artrite induzida por adjuvante na fase de lactação.</w:t>
      </w:r>
    </w:p>
    <w:tbl>
      <w:tblPr>
        <w:tblW w:w="5000" w:type="pct"/>
        <w:jc w:val="center"/>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4093"/>
        <w:gridCol w:w="1785"/>
        <w:gridCol w:w="1743"/>
        <w:gridCol w:w="774"/>
        <w:gridCol w:w="790"/>
      </w:tblGrid>
      <w:tr w:rsidR="001505AB" w:rsidRPr="00915C7C" w:rsidTr="00BF12C5">
        <w:trPr>
          <w:trHeight w:val="210"/>
          <w:jc w:val="center"/>
        </w:trPr>
        <w:tc>
          <w:tcPr>
            <w:tcW w:w="2238" w:type="pct"/>
            <w:tcBorders>
              <w:bottom w:val="single" w:sz="4" w:space="0" w:color="auto"/>
            </w:tcBorders>
            <w:vAlign w:val="center"/>
          </w:tcPr>
          <w:p w:rsidR="001505AB" w:rsidRPr="00915C7C" w:rsidRDefault="001505AB" w:rsidP="00BF12C5">
            <w:pPr>
              <w:spacing w:after="0" w:line="360" w:lineRule="auto"/>
            </w:pPr>
            <w:r w:rsidRPr="00915C7C">
              <w:t>Variáveis (±DP</w:t>
            </w:r>
            <w:r w:rsidRPr="00915C7C">
              <w:rPr>
                <w:vertAlign w:val="superscript"/>
              </w:rPr>
              <w:t>1</w:t>
            </w:r>
            <w:r w:rsidRPr="00915C7C">
              <w:t>)</w:t>
            </w:r>
            <w:r w:rsidRPr="00915C7C">
              <w:rPr>
                <w:vertAlign w:val="superscript"/>
              </w:rPr>
              <w:t>2</w:t>
            </w:r>
          </w:p>
        </w:tc>
        <w:tc>
          <w:tcPr>
            <w:tcW w:w="981" w:type="pct"/>
            <w:tcBorders>
              <w:bottom w:val="single" w:sz="4" w:space="0" w:color="auto"/>
            </w:tcBorders>
            <w:vAlign w:val="center"/>
          </w:tcPr>
          <w:p w:rsidR="001505AB" w:rsidRPr="00BF12C5" w:rsidRDefault="001505AB" w:rsidP="00BF12C5">
            <w:pPr>
              <w:spacing w:after="0" w:line="360" w:lineRule="auto"/>
              <w:jc w:val="center"/>
              <w:rPr>
                <w:vertAlign w:val="superscript"/>
              </w:rPr>
            </w:pPr>
            <w:r w:rsidRPr="00915C7C">
              <w:t xml:space="preserve">Protocolo Controle </w:t>
            </w:r>
            <w:r w:rsidRPr="00915C7C">
              <w:rPr>
                <w:vertAlign w:val="superscript"/>
              </w:rPr>
              <w:t>4</w:t>
            </w:r>
          </w:p>
        </w:tc>
        <w:tc>
          <w:tcPr>
            <w:tcW w:w="958" w:type="pct"/>
            <w:tcBorders>
              <w:bottom w:val="single" w:sz="4" w:space="0" w:color="auto"/>
            </w:tcBorders>
            <w:vAlign w:val="center"/>
          </w:tcPr>
          <w:p w:rsidR="001505AB" w:rsidRPr="00BF12C5" w:rsidRDefault="001505AB" w:rsidP="00BF12C5">
            <w:pPr>
              <w:spacing w:after="0" w:line="360" w:lineRule="auto"/>
              <w:jc w:val="center"/>
              <w:rPr>
                <w:vertAlign w:val="superscript"/>
              </w:rPr>
            </w:pPr>
            <w:r w:rsidRPr="00915C7C">
              <w:t xml:space="preserve">Protocolo Positivo </w:t>
            </w:r>
            <w:r w:rsidRPr="00915C7C">
              <w:rPr>
                <w:vertAlign w:val="superscript"/>
              </w:rPr>
              <w:t>3</w:t>
            </w:r>
          </w:p>
        </w:tc>
        <w:tc>
          <w:tcPr>
            <w:tcW w:w="398" w:type="pct"/>
            <w:tcBorders>
              <w:bottom w:val="single" w:sz="4" w:space="0" w:color="auto"/>
            </w:tcBorders>
            <w:vAlign w:val="center"/>
          </w:tcPr>
          <w:p w:rsidR="001505AB" w:rsidRPr="00915C7C" w:rsidRDefault="001505AB" w:rsidP="00BF12C5">
            <w:pPr>
              <w:spacing w:after="0" w:line="360" w:lineRule="auto"/>
              <w:jc w:val="center"/>
            </w:pPr>
            <w:r w:rsidRPr="00915C7C">
              <w:t>EPM</w:t>
            </w:r>
            <w:r w:rsidRPr="00915C7C">
              <w:rPr>
                <w:vertAlign w:val="superscript"/>
              </w:rPr>
              <w:t>5</w:t>
            </w:r>
          </w:p>
        </w:tc>
        <w:tc>
          <w:tcPr>
            <w:tcW w:w="425" w:type="pct"/>
            <w:tcBorders>
              <w:bottom w:val="single" w:sz="4" w:space="0" w:color="auto"/>
            </w:tcBorders>
            <w:vAlign w:val="center"/>
          </w:tcPr>
          <w:p w:rsidR="001505AB" w:rsidRPr="00915C7C" w:rsidRDefault="001505AB" w:rsidP="00BF12C5">
            <w:pPr>
              <w:spacing w:after="0" w:line="360" w:lineRule="auto"/>
              <w:jc w:val="center"/>
            </w:pPr>
            <w:r w:rsidRPr="00915C7C">
              <w:rPr>
                <w:i/>
              </w:rPr>
              <w:t>P</w:t>
            </w:r>
            <w:r w:rsidRPr="00915C7C">
              <w:t>-valor</w:t>
            </w:r>
          </w:p>
        </w:tc>
      </w:tr>
      <w:tr w:rsidR="001505AB" w:rsidRPr="00915C7C" w:rsidTr="00BF12C5">
        <w:trPr>
          <w:trHeight w:val="73"/>
          <w:jc w:val="center"/>
        </w:trPr>
        <w:tc>
          <w:tcPr>
            <w:tcW w:w="2238" w:type="pct"/>
            <w:tcBorders>
              <w:top w:val="single" w:sz="4" w:space="0" w:color="auto"/>
              <w:bottom w:val="nil"/>
            </w:tcBorders>
            <w:vAlign w:val="center"/>
          </w:tcPr>
          <w:p w:rsidR="001505AB" w:rsidRPr="00915C7C" w:rsidRDefault="001505AB" w:rsidP="00BF12C5">
            <w:pPr>
              <w:spacing w:after="0" w:line="360" w:lineRule="auto"/>
              <w:rPr>
                <w:lang w:val="es-ES"/>
              </w:rPr>
            </w:pPr>
            <w:r w:rsidRPr="00915C7C">
              <w:rPr>
                <w:color w:val="000000"/>
                <w:lang w:val="es-ES"/>
              </w:rPr>
              <w:t>Catalase</w:t>
            </w:r>
            <w:r w:rsidRPr="00915C7C">
              <w:rPr>
                <w:lang w:val="es-ES"/>
              </w:rPr>
              <w:t xml:space="preserve"> (µmol.min</w:t>
            </w:r>
            <w:r w:rsidRPr="00915C7C">
              <w:rPr>
                <w:vertAlign w:val="superscript"/>
                <w:lang w:val="es-ES"/>
              </w:rPr>
              <w:t>-1</w:t>
            </w:r>
            <w:r w:rsidRPr="00915C7C">
              <w:rPr>
                <w:lang w:val="es-ES"/>
              </w:rPr>
              <w:t>.mg</w:t>
            </w:r>
            <w:r w:rsidRPr="00915C7C">
              <w:rPr>
                <w:vertAlign w:val="superscript"/>
                <w:lang w:val="es-ES"/>
              </w:rPr>
              <w:t>-1</w:t>
            </w:r>
            <w:r w:rsidRPr="00915C7C">
              <w:rPr>
                <w:lang w:val="es-ES"/>
              </w:rPr>
              <w:t>)</w:t>
            </w:r>
          </w:p>
        </w:tc>
        <w:tc>
          <w:tcPr>
            <w:tcW w:w="981" w:type="pct"/>
            <w:tcBorders>
              <w:top w:val="single" w:sz="4" w:space="0" w:color="auto"/>
              <w:bottom w:val="nil"/>
            </w:tcBorders>
            <w:vAlign w:val="center"/>
          </w:tcPr>
          <w:p w:rsidR="001505AB" w:rsidRPr="00915C7C" w:rsidRDefault="001505AB" w:rsidP="00BF12C5">
            <w:pPr>
              <w:spacing w:after="0" w:line="360" w:lineRule="auto"/>
              <w:jc w:val="center"/>
            </w:pPr>
            <w:r w:rsidRPr="00915C7C">
              <w:t>1076,01 ±94,49</w:t>
            </w:r>
            <w:r w:rsidRPr="00915C7C">
              <w:rPr>
                <w:vertAlign w:val="superscript"/>
              </w:rPr>
              <w:t>a</w:t>
            </w:r>
          </w:p>
        </w:tc>
        <w:tc>
          <w:tcPr>
            <w:tcW w:w="958" w:type="pct"/>
            <w:tcBorders>
              <w:top w:val="single" w:sz="4" w:space="0" w:color="auto"/>
              <w:bottom w:val="nil"/>
            </w:tcBorders>
            <w:vAlign w:val="center"/>
          </w:tcPr>
          <w:p w:rsidR="001505AB" w:rsidRPr="00915C7C" w:rsidRDefault="001505AB" w:rsidP="00BF12C5">
            <w:pPr>
              <w:spacing w:after="0" w:line="360" w:lineRule="auto"/>
              <w:jc w:val="center"/>
            </w:pPr>
            <w:r w:rsidRPr="00915C7C">
              <w:t>653,96 ±95,51</w:t>
            </w:r>
            <w:r w:rsidRPr="00915C7C">
              <w:rPr>
                <w:vertAlign w:val="superscript"/>
              </w:rPr>
              <w:t>b</w:t>
            </w:r>
          </w:p>
        </w:tc>
        <w:tc>
          <w:tcPr>
            <w:tcW w:w="398" w:type="pct"/>
            <w:tcBorders>
              <w:top w:val="single" w:sz="4" w:space="0" w:color="auto"/>
              <w:bottom w:val="nil"/>
            </w:tcBorders>
            <w:vAlign w:val="center"/>
          </w:tcPr>
          <w:p w:rsidR="001505AB" w:rsidRPr="00915C7C" w:rsidRDefault="001505AB" w:rsidP="00BF12C5">
            <w:pPr>
              <w:spacing w:after="0" w:line="360" w:lineRule="auto"/>
              <w:jc w:val="center"/>
            </w:pPr>
            <w:r w:rsidRPr="00915C7C">
              <w:t>17,968</w:t>
            </w:r>
          </w:p>
        </w:tc>
        <w:tc>
          <w:tcPr>
            <w:tcW w:w="425" w:type="pct"/>
            <w:tcBorders>
              <w:top w:val="single" w:sz="4" w:space="0" w:color="auto"/>
              <w:bottom w:val="nil"/>
            </w:tcBorders>
            <w:vAlign w:val="center"/>
          </w:tcPr>
          <w:p w:rsidR="001505AB" w:rsidRPr="00915C7C" w:rsidRDefault="001505AB" w:rsidP="00BF12C5">
            <w:pPr>
              <w:spacing w:after="0" w:line="360" w:lineRule="auto"/>
              <w:jc w:val="center"/>
              <w:rPr>
                <w:color w:val="000000"/>
              </w:rPr>
            </w:pPr>
            <w:r w:rsidRPr="00915C7C">
              <w:rPr>
                <w:color w:val="000000"/>
              </w:rPr>
              <w:t>&lt;0,001</w:t>
            </w:r>
          </w:p>
        </w:tc>
      </w:tr>
      <w:tr w:rsidR="001505AB" w:rsidRPr="00915C7C" w:rsidTr="00BF12C5">
        <w:trPr>
          <w:trHeight w:val="74"/>
          <w:jc w:val="center"/>
        </w:trPr>
        <w:tc>
          <w:tcPr>
            <w:tcW w:w="2238" w:type="pct"/>
            <w:tcBorders>
              <w:top w:val="nil"/>
            </w:tcBorders>
            <w:vAlign w:val="center"/>
          </w:tcPr>
          <w:p w:rsidR="001505AB" w:rsidRPr="00915C7C" w:rsidRDefault="001505AB" w:rsidP="00BF12C5">
            <w:pPr>
              <w:spacing w:after="0" w:line="360" w:lineRule="auto"/>
            </w:pPr>
            <w:r w:rsidRPr="00915C7C">
              <w:t>Superóxido dismutase (U.mg</w:t>
            </w:r>
            <w:r w:rsidRPr="00915C7C">
              <w:rPr>
                <w:vertAlign w:val="superscript"/>
              </w:rPr>
              <w:t>-1</w:t>
            </w:r>
            <w:r w:rsidRPr="00915C7C">
              <w:t>)</w:t>
            </w:r>
          </w:p>
        </w:tc>
        <w:tc>
          <w:tcPr>
            <w:tcW w:w="981" w:type="pct"/>
            <w:tcBorders>
              <w:top w:val="nil"/>
            </w:tcBorders>
            <w:vAlign w:val="center"/>
          </w:tcPr>
          <w:p w:rsidR="001505AB" w:rsidRPr="00915C7C" w:rsidRDefault="001505AB" w:rsidP="00BF12C5">
            <w:pPr>
              <w:spacing w:after="0" w:line="360" w:lineRule="auto"/>
              <w:jc w:val="center"/>
            </w:pPr>
            <w:r w:rsidRPr="00915C7C">
              <w:t>2,32 ±0,26</w:t>
            </w:r>
            <w:r w:rsidRPr="00915C7C">
              <w:rPr>
                <w:vertAlign w:val="superscript"/>
              </w:rPr>
              <w:t>a</w:t>
            </w:r>
          </w:p>
        </w:tc>
        <w:tc>
          <w:tcPr>
            <w:tcW w:w="958" w:type="pct"/>
            <w:tcBorders>
              <w:top w:val="nil"/>
            </w:tcBorders>
            <w:vAlign w:val="center"/>
          </w:tcPr>
          <w:p w:rsidR="001505AB" w:rsidRPr="00915C7C" w:rsidRDefault="001505AB" w:rsidP="00BF12C5">
            <w:pPr>
              <w:spacing w:after="0" w:line="360" w:lineRule="auto"/>
              <w:jc w:val="center"/>
            </w:pPr>
            <w:r w:rsidRPr="00915C7C">
              <w:t>1,63 ±0,26</w:t>
            </w:r>
            <w:r w:rsidRPr="00915C7C">
              <w:rPr>
                <w:vertAlign w:val="superscript"/>
              </w:rPr>
              <w:t>b</w:t>
            </w:r>
          </w:p>
        </w:tc>
        <w:tc>
          <w:tcPr>
            <w:tcW w:w="398" w:type="pct"/>
            <w:tcBorders>
              <w:top w:val="nil"/>
            </w:tcBorders>
            <w:vAlign w:val="center"/>
          </w:tcPr>
          <w:p w:rsidR="001505AB" w:rsidRPr="00915C7C" w:rsidRDefault="001505AB" w:rsidP="00BF12C5">
            <w:pPr>
              <w:spacing w:after="0" w:line="360" w:lineRule="auto"/>
              <w:jc w:val="center"/>
            </w:pPr>
            <w:r w:rsidRPr="00915C7C">
              <w:t>0,049</w:t>
            </w:r>
          </w:p>
        </w:tc>
        <w:tc>
          <w:tcPr>
            <w:tcW w:w="425" w:type="pct"/>
            <w:tcBorders>
              <w:top w:val="nil"/>
            </w:tcBorders>
            <w:vAlign w:val="center"/>
          </w:tcPr>
          <w:p w:rsidR="001505AB" w:rsidRPr="00915C7C" w:rsidRDefault="001505AB" w:rsidP="00BF12C5">
            <w:pPr>
              <w:spacing w:after="0" w:line="360" w:lineRule="auto"/>
              <w:jc w:val="center"/>
              <w:rPr>
                <w:color w:val="000000"/>
              </w:rPr>
            </w:pPr>
            <w:r w:rsidRPr="00915C7C">
              <w:rPr>
                <w:color w:val="000000"/>
              </w:rPr>
              <w:t>&lt;0,001</w:t>
            </w:r>
          </w:p>
        </w:tc>
      </w:tr>
      <w:tr w:rsidR="001505AB" w:rsidRPr="00915C7C" w:rsidTr="00BF12C5">
        <w:trPr>
          <w:trHeight w:val="274"/>
          <w:jc w:val="center"/>
        </w:trPr>
        <w:tc>
          <w:tcPr>
            <w:tcW w:w="2238" w:type="pct"/>
            <w:vAlign w:val="center"/>
          </w:tcPr>
          <w:p w:rsidR="001505AB" w:rsidRPr="00915C7C" w:rsidRDefault="001505AB" w:rsidP="00BF12C5">
            <w:pPr>
              <w:spacing w:after="0" w:line="360" w:lineRule="auto"/>
            </w:pPr>
            <w:r w:rsidRPr="00915C7C">
              <w:t>Proteínas carboniladas (nmol.mg proteína</w:t>
            </w:r>
            <w:r w:rsidRPr="00915C7C">
              <w:rPr>
                <w:vertAlign w:val="superscript"/>
              </w:rPr>
              <w:t>-1</w:t>
            </w:r>
            <w:r w:rsidRPr="00915C7C">
              <w:t>)</w:t>
            </w:r>
          </w:p>
        </w:tc>
        <w:tc>
          <w:tcPr>
            <w:tcW w:w="981" w:type="pct"/>
            <w:vAlign w:val="center"/>
          </w:tcPr>
          <w:p w:rsidR="001505AB" w:rsidRPr="00915C7C" w:rsidRDefault="001505AB" w:rsidP="00BF12C5">
            <w:pPr>
              <w:spacing w:after="0" w:line="360" w:lineRule="auto"/>
              <w:jc w:val="center"/>
            </w:pPr>
            <w:r w:rsidRPr="00915C7C">
              <w:t>6,20 ±0,48</w:t>
            </w:r>
            <w:r w:rsidRPr="00915C7C">
              <w:rPr>
                <w:vertAlign w:val="superscript"/>
              </w:rPr>
              <w:t>b</w:t>
            </w:r>
          </w:p>
        </w:tc>
        <w:tc>
          <w:tcPr>
            <w:tcW w:w="958" w:type="pct"/>
            <w:vAlign w:val="center"/>
          </w:tcPr>
          <w:p w:rsidR="001505AB" w:rsidRPr="00915C7C" w:rsidRDefault="001505AB" w:rsidP="00BF12C5">
            <w:pPr>
              <w:spacing w:after="0" w:line="360" w:lineRule="auto"/>
              <w:jc w:val="center"/>
            </w:pPr>
            <w:r w:rsidRPr="00915C7C">
              <w:t>7,38 ±0,93</w:t>
            </w:r>
            <w:r w:rsidRPr="00915C7C">
              <w:rPr>
                <w:vertAlign w:val="superscript"/>
              </w:rPr>
              <w:t>a</w:t>
            </w:r>
          </w:p>
        </w:tc>
        <w:tc>
          <w:tcPr>
            <w:tcW w:w="398" w:type="pct"/>
            <w:vAlign w:val="center"/>
          </w:tcPr>
          <w:p w:rsidR="001505AB" w:rsidRPr="00915C7C" w:rsidRDefault="001505AB" w:rsidP="00BF12C5">
            <w:pPr>
              <w:spacing w:after="0" w:line="360" w:lineRule="auto"/>
              <w:jc w:val="center"/>
            </w:pPr>
            <w:r w:rsidRPr="00915C7C">
              <w:t>0,146</w:t>
            </w:r>
          </w:p>
        </w:tc>
        <w:tc>
          <w:tcPr>
            <w:tcW w:w="425" w:type="pct"/>
            <w:vAlign w:val="center"/>
          </w:tcPr>
          <w:p w:rsidR="001505AB" w:rsidRPr="00915C7C" w:rsidRDefault="001505AB" w:rsidP="00BF12C5">
            <w:pPr>
              <w:spacing w:after="0" w:line="360" w:lineRule="auto"/>
              <w:jc w:val="center"/>
              <w:rPr>
                <w:color w:val="000000"/>
              </w:rPr>
            </w:pPr>
            <w:r w:rsidRPr="00915C7C">
              <w:rPr>
                <w:color w:val="000000"/>
              </w:rPr>
              <w:t>&lt;0,001</w:t>
            </w:r>
          </w:p>
        </w:tc>
      </w:tr>
    </w:tbl>
    <w:p w:rsidR="001505AB" w:rsidRPr="00934AF2" w:rsidRDefault="001505AB" w:rsidP="00915C7C">
      <w:pPr>
        <w:autoSpaceDE w:val="0"/>
        <w:autoSpaceDN w:val="0"/>
        <w:adjustRightInd w:val="0"/>
        <w:spacing w:after="0" w:line="360" w:lineRule="auto"/>
        <w:jc w:val="both"/>
        <w:rPr>
          <w:sz w:val="20"/>
          <w:szCs w:val="20"/>
        </w:rPr>
      </w:pPr>
      <w:r w:rsidRPr="00934AF2">
        <w:rPr>
          <w:sz w:val="20"/>
          <w:szCs w:val="20"/>
        </w:rPr>
        <w:t>1- Desvio-padrão.</w:t>
      </w:r>
    </w:p>
    <w:p w:rsidR="001505AB" w:rsidRPr="00934AF2" w:rsidRDefault="001505AB" w:rsidP="00915C7C">
      <w:pPr>
        <w:autoSpaceDE w:val="0"/>
        <w:autoSpaceDN w:val="0"/>
        <w:adjustRightInd w:val="0"/>
        <w:spacing w:after="0" w:line="360" w:lineRule="auto"/>
        <w:jc w:val="both"/>
        <w:rPr>
          <w:sz w:val="20"/>
          <w:szCs w:val="20"/>
        </w:rPr>
      </w:pPr>
      <w:r w:rsidRPr="00934AF2">
        <w:rPr>
          <w:sz w:val="20"/>
          <w:szCs w:val="20"/>
        </w:rPr>
        <w:t xml:space="preserve">2- Médias seguidas por letras distintas, na linha, diferem entre si pelo teste F.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3- Aplicação subcutânea de Adjuvante Completo de Freund</w:t>
      </w:r>
      <w:r w:rsidRPr="00934AF2">
        <w:rPr>
          <w:sz w:val="20"/>
          <w:szCs w:val="20"/>
          <w:vertAlign w:val="superscript"/>
        </w:rPr>
        <w:t>®</w:t>
      </w:r>
      <w:r w:rsidRPr="00934AF2">
        <w:rPr>
          <w:sz w:val="20"/>
          <w:szCs w:val="20"/>
        </w:rPr>
        <w:t xml:space="preserve"> na articulação tarso-falange direita, aos 7, 14 e 21 </w:t>
      </w:r>
      <w:r w:rsidRPr="00934AF2">
        <w:rPr>
          <w:color w:val="000000"/>
          <w:sz w:val="20"/>
          <w:szCs w:val="20"/>
        </w:rPr>
        <w:t xml:space="preserve">dias de idade (0,300 mL/animal).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4- Aplicação subcutânea de Soro Fisiológico (0,9%) na articulação tarso-falange direita, aos 7, 14 e 21 dias</w:t>
      </w:r>
      <w:r w:rsidRPr="00934AF2">
        <w:rPr>
          <w:color w:val="000000"/>
          <w:sz w:val="20"/>
          <w:szCs w:val="20"/>
        </w:rPr>
        <w:t xml:space="preserve"> de idade (0,300 mL/animal). </w:t>
      </w:r>
    </w:p>
    <w:p w:rsidR="001505AB" w:rsidRPr="00934AF2" w:rsidRDefault="001505AB" w:rsidP="00915C7C">
      <w:pPr>
        <w:autoSpaceDE w:val="0"/>
        <w:autoSpaceDN w:val="0"/>
        <w:adjustRightInd w:val="0"/>
        <w:spacing w:after="0" w:line="360" w:lineRule="auto"/>
        <w:jc w:val="both"/>
        <w:rPr>
          <w:color w:val="000000"/>
          <w:sz w:val="20"/>
          <w:szCs w:val="20"/>
        </w:rPr>
      </w:pPr>
      <w:r w:rsidRPr="00934AF2">
        <w:rPr>
          <w:sz w:val="20"/>
          <w:szCs w:val="20"/>
        </w:rPr>
        <w:t xml:space="preserve">5- </w:t>
      </w:r>
      <w:r w:rsidRPr="00934AF2">
        <w:rPr>
          <w:color w:val="000000"/>
          <w:sz w:val="20"/>
          <w:szCs w:val="20"/>
        </w:rPr>
        <w:t xml:space="preserve">Erro padrão da média. </w:t>
      </w:r>
    </w:p>
    <w:p w:rsidR="00BF12C5" w:rsidRDefault="00BF12C5" w:rsidP="00BF12C5">
      <w:pPr>
        <w:autoSpaceDE w:val="0"/>
        <w:autoSpaceDN w:val="0"/>
        <w:adjustRightInd w:val="0"/>
        <w:spacing w:after="0" w:line="360" w:lineRule="auto"/>
        <w:ind w:firstLine="567"/>
        <w:jc w:val="both"/>
      </w:pPr>
    </w:p>
    <w:p w:rsidR="00C30935" w:rsidRDefault="00C30935" w:rsidP="00C30935">
      <w:pPr>
        <w:autoSpaceDE w:val="0"/>
        <w:autoSpaceDN w:val="0"/>
        <w:adjustRightInd w:val="0"/>
        <w:spacing w:after="0" w:line="360" w:lineRule="auto"/>
        <w:ind w:firstLine="567"/>
        <w:jc w:val="both"/>
      </w:pPr>
      <w:r w:rsidRPr="00915C7C">
        <w:lastRenderedPageBreak/>
        <w:t>A atividade das enzimas Catalase e Superóxido dismutase foram inferiores (P&lt;0,05) para os animais do Protocolo Positivo quando comparados aos valores determinados no plasma de animais do Protocolo Controle,</w:t>
      </w:r>
      <w:r>
        <w:t xml:space="preserve"> conforme expresso nas Figuras 3-A e 3</w:t>
      </w:r>
      <w:r w:rsidRPr="00915C7C">
        <w:t>-B. Já a variável Proteínas carboniladas foi superior (P&lt;0,05) para os animais do Grupo Positiv</w:t>
      </w:r>
      <w:r>
        <w:t>o, conforme expresso na Figura 3</w:t>
      </w:r>
      <w:r w:rsidRPr="00915C7C">
        <w:t>-C.</w:t>
      </w:r>
    </w:p>
    <w:p w:rsidR="001505AB" w:rsidRPr="00915C7C" w:rsidRDefault="001505AB" w:rsidP="00915C7C">
      <w:pPr>
        <w:autoSpaceDE w:val="0"/>
        <w:autoSpaceDN w:val="0"/>
        <w:adjustRightInd w:val="0"/>
        <w:spacing w:after="0" w:line="360" w:lineRule="auto"/>
        <w:jc w:val="both"/>
      </w:pPr>
    </w:p>
    <w:tbl>
      <w:tblPr>
        <w:tblW w:w="8505" w:type="dxa"/>
        <w:jc w:val="center"/>
        <w:tblLayout w:type="fixed"/>
        <w:tblLook w:val="04A0" w:firstRow="1" w:lastRow="0" w:firstColumn="1" w:lastColumn="0" w:noHBand="0" w:noVBand="1"/>
      </w:tblPr>
      <w:tblGrid>
        <w:gridCol w:w="4411"/>
        <w:gridCol w:w="4094"/>
      </w:tblGrid>
      <w:tr w:rsidR="001505AB" w:rsidRPr="00915C7C" w:rsidTr="008A508D">
        <w:trPr>
          <w:jc w:val="center"/>
        </w:trPr>
        <w:tc>
          <w:tcPr>
            <w:tcW w:w="4411" w:type="dxa"/>
            <w:vAlign w:val="center"/>
          </w:tcPr>
          <w:p w:rsidR="001505AB" w:rsidRPr="00915C7C" w:rsidRDefault="0052254C" w:rsidP="00915C7C">
            <w:pPr>
              <w:pStyle w:val="Recuodecorpodetexto"/>
              <w:tabs>
                <w:tab w:val="left" w:pos="0"/>
              </w:tabs>
              <w:spacing w:after="0" w:line="360" w:lineRule="auto"/>
              <w:ind w:right="-4"/>
              <w:jc w:val="center"/>
              <w:outlineLvl w:val="0"/>
              <w:rPr>
                <w:b/>
                <w:bCs/>
                <w:color w:val="0D0D0D"/>
                <w:kern w:val="28"/>
              </w:rPr>
            </w:pPr>
            <w:r w:rsidRPr="00915C7C">
              <w:rPr>
                <w:bCs/>
                <w:kern w:val="28"/>
              </w:rPr>
              <w:object w:dxaOrig="6236" w:dyaOrig="4592">
                <v:shape id="_x0000_i1029" type="#_x0000_t75" style="width:234pt;height:171pt" o:ole="">
                  <v:imagedata r:id="rId20" o:title=""/>
                </v:shape>
                <o:OLEObject Type="Embed" ProgID="Prism5.Document" ShapeID="_x0000_i1029" DrawAspect="Content" ObjectID="_1662623483" r:id="rId21"/>
              </w:object>
            </w:r>
          </w:p>
        </w:tc>
        <w:tc>
          <w:tcPr>
            <w:tcW w:w="4094" w:type="dxa"/>
            <w:vAlign w:val="center"/>
          </w:tcPr>
          <w:p w:rsidR="001505AB" w:rsidRPr="00915C7C" w:rsidRDefault="0052254C" w:rsidP="00915C7C">
            <w:pPr>
              <w:pStyle w:val="Recuodecorpodetexto"/>
              <w:tabs>
                <w:tab w:val="left" w:pos="0"/>
              </w:tabs>
              <w:spacing w:after="0" w:line="360" w:lineRule="auto"/>
              <w:jc w:val="center"/>
              <w:outlineLvl w:val="0"/>
              <w:rPr>
                <w:b/>
                <w:bCs/>
                <w:color w:val="0D0D0D"/>
                <w:kern w:val="28"/>
              </w:rPr>
            </w:pPr>
            <w:r w:rsidRPr="00915C7C">
              <w:rPr>
                <w:bCs/>
                <w:kern w:val="28"/>
              </w:rPr>
              <w:object w:dxaOrig="6009" w:dyaOrig="4819">
                <v:shape id="_x0000_i1030" type="#_x0000_t75" style="width:228pt;height:183pt" o:ole="">
                  <v:imagedata r:id="rId22" o:title=""/>
                </v:shape>
                <o:OLEObject Type="Embed" ProgID="Prism5.Document" ShapeID="_x0000_i1030" DrawAspect="Content" ObjectID="_1662623484" r:id="rId23"/>
              </w:object>
            </w:r>
          </w:p>
        </w:tc>
      </w:tr>
      <w:tr w:rsidR="001505AB" w:rsidRPr="00915C7C" w:rsidTr="008A508D">
        <w:trPr>
          <w:jc w:val="center"/>
        </w:trPr>
        <w:tc>
          <w:tcPr>
            <w:tcW w:w="8505" w:type="dxa"/>
            <w:gridSpan w:val="2"/>
            <w:vAlign w:val="center"/>
          </w:tcPr>
          <w:p w:rsidR="001505AB" w:rsidRPr="00915C7C" w:rsidRDefault="0052254C" w:rsidP="00915C7C">
            <w:pPr>
              <w:pStyle w:val="Recuodecorpodetexto"/>
              <w:tabs>
                <w:tab w:val="left" w:pos="0"/>
              </w:tabs>
              <w:spacing w:after="0" w:line="360" w:lineRule="auto"/>
              <w:jc w:val="center"/>
              <w:outlineLvl w:val="0"/>
              <w:rPr>
                <w:b/>
                <w:bCs/>
                <w:kern w:val="28"/>
              </w:rPr>
            </w:pPr>
            <w:r w:rsidRPr="00915C7C">
              <w:rPr>
                <w:bCs/>
                <w:kern w:val="28"/>
              </w:rPr>
              <w:object w:dxaOrig="6406" w:dyaOrig="4592">
                <v:shape id="_x0000_i1031" type="#_x0000_t75" style="width:244.5pt;height:174pt" o:ole="">
                  <v:imagedata r:id="rId24" o:title=""/>
                </v:shape>
                <o:OLEObject Type="Embed" ProgID="Prism5.Document" ShapeID="_x0000_i1031" DrawAspect="Content" ObjectID="_1662623485" r:id="rId25"/>
              </w:object>
            </w:r>
          </w:p>
        </w:tc>
      </w:tr>
    </w:tbl>
    <w:p w:rsidR="001505AB" w:rsidRPr="00915C7C" w:rsidRDefault="001505AB" w:rsidP="00677B8A">
      <w:pPr>
        <w:pStyle w:val="Recuodecorpodetexto"/>
        <w:tabs>
          <w:tab w:val="left" w:pos="0"/>
        </w:tabs>
        <w:spacing w:after="0" w:line="360" w:lineRule="auto"/>
        <w:ind w:right="-1"/>
        <w:jc w:val="both"/>
        <w:rPr>
          <w:color w:val="0D0D0D"/>
        </w:rPr>
      </w:pPr>
      <w:r w:rsidRPr="00915C7C">
        <w:rPr>
          <w:b/>
          <w:color w:val="0D0D0D"/>
        </w:rPr>
        <w:t xml:space="preserve">Figura </w:t>
      </w:r>
      <w:r w:rsidR="00934AF2">
        <w:rPr>
          <w:b/>
          <w:color w:val="0D0D0D"/>
          <w:lang w:val="pt-BR"/>
        </w:rPr>
        <w:t>3</w:t>
      </w:r>
      <w:r w:rsidRPr="00915C7C">
        <w:rPr>
          <w:b/>
          <w:color w:val="0D0D0D"/>
        </w:rPr>
        <w:t xml:space="preserve">. </w:t>
      </w:r>
      <w:r w:rsidRPr="00915C7C">
        <w:rPr>
          <w:color w:val="000000"/>
        </w:rPr>
        <w:t>Catalase,</w:t>
      </w:r>
      <w:r w:rsidR="00677B8A">
        <w:rPr>
          <w:color w:val="000000"/>
          <w:lang w:val="pt-BR"/>
        </w:rPr>
        <w:t xml:space="preserve"> </w:t>
      </w:r>
      <w:r w:rsidRPr="00915C7C">
        <w:rPr>
          <w:i/>
        </w:rPr>
        <w:t>µmol.min</w:t>
      </w:r>
      <w:r w:rsidRPr="00915C7C">
        <w:rPr>
          <w:i/>
          <w:vertAlign w:val="superscript"/>
        </w:rPr>
        <w:t>-1</w:t>
      </w:r>
      <w:r w:rsidRPr="00915C7C">
        <w:rPr>
          <w:i/>
        </w:rPr>
        <w:t>.mg</w:t>
      </w:r>
      <w:r w:rsidRPr="00915C7C">
        <w:rPr>
          <w:i/>
          <w:vertAlign w:val="superscript"/>
        </w:rPr>
        <w:t>-1</w:t>
      </w:r>
      <w:r w:rsidRPr="00915C7C">
        <w:t xml:space="preserve"> (A); Superóxido dismutase, </w:t>
      </w:r>
      <w:r w:rsidRPr="00915C7C">
        <w:rPr>
          <w:i/>
        </w:rPr>
        <w:t>U.mg</w:t>
      </w:r>
      <w:r w:rsidRPr="00915C7C">
        <w:rPr>
          <w:i/>
          <w:vertAlign w:val="superscript"/>
        </w:rPr>
        <w:t>-1</w:t>
      </w:r>
      <w:r w:rsidRPr="00915C7C">
        <w:t xml:space="preserve"> (B) e Proteínas carboniladas, </w:t>
      </w:r>
      <w:r w:rsidRPr="00915C7C">
        <w:rPr>
          <w:i/>
        </w:rPr>
        <w:t>nmol.mg proteína</w:t>
      </w:r>
      <w:r w:rsidRPr="00915C7C">
        <w:rPr>
          <w:i/>
          <w:vertAlign w:val="superscript"/>
        </w:rPr>
        <w:t>-1</w:t>
      </w:r>
      <w:r w:rsidRPr="00915C7C">
        <w:t xml:space="preserve"> (C) no fígado d</w:t>
      </w:r>
      <w:r w:rsidRPr="00915C7C">
        <w:rPr>
          <w:color w:val="0D0D0D"/>
        </w:rPr>
        <w:t>e fêmeas suínas em fase inicial, com artrite induzida por adjuvante na fase de lactação.</w:t>
      </w:r>
    </w:p>
    <w:p w:rsidR="001505AB" w:rsidRPr="00915C7C" w:rsidRDefault="001505AB" w:rsidP="00915C7C">
      <w:pPr>
        <w:autoSpaceDE w:val="0"/>
        <w:autoSpaceDN w:val="0"/>
        <w:adjustRightInd w:val="0"/>
        <w:spacing w:after="0" w:line="360" w:lineRule="auto"/>
        <w:ind w:firstLine="567"/>
        <w:jc w:val="both"/>
        <w:rPr>
          <w:lang w:eastAsia="zh-CN"/>
        </w:rPr>
      </w:pPr>
    </w:p>
    <w:p w:rsidR="00C30935" w:rsidRPr="00915C7C" w:rsidRDefault="00C30935" w:rsidP="00C30935">
      <w:pPr>
        <w:autoSpaceDE w:val="0"/>
        <w:autoSpaceDN w:val="0"/>
        <w:adjustRightInd w:val="0"/>
        <w:spacing w:after="0" w:line="360" w:lineRule="auto"/>
        <w:ind w:firstLine="567"/>
        <w:jc w:val="both"/>
      </w:pPr>
      <w:r w:rsidRPr="00915C7C">
        <w:t>Atuando em conjunto com a catalase, a SOD é uma enzima antioxidante que atua catalisando a dismutação do O</w:t>
      </w:r>
      <w:r w:rsidRPr="00915C7C">
        <w:rPr>
          <w:vertAlign w:val="subscript"/>
        </w:rPr>
        <w:t>2</w:t>
      </w:r>
      <w:r w:rsidRPr="00915C7C">
        <w:rPr>
          <w:vertAlign w:val="superscript"/>
        </w:rPr>
        <w:t>-</w:t>
      </w:r>
      <w:r w:rsidRPr="00915C7C">
        <w:t xml:space="preserve">, que é uma ERO, transformando-o em peróxido de hidrogênio, que posteriormente será transformado em água e gás oxigênio pela catalase </w:t>
      </w:r>
      <w:r>
        <w:t>(WEYDERT; CULLEN, 2010)</w:t>
      </w:r>
      <w:r w:rsidRPr="00915C7C">
        <w:t>. Ambas enzimas fazem parte da redução do O</w:t>
      </w:r>
      <w:r w:rsidRPr="00915C7C">
        <w:rPr>
          <w:vertAlign w:val="subscript"/>
        </w:rPr>
        <w:t>2</w:t>
      </w:r>
      <w:r w:rsidRPr="00915C7C">
        <w:rPr>
          <w:vertAlign w:val="superscript"/>
        </w:rPr>
        <w:t>-</w:t>
      </w:r>
      <w:r w:rsidRPr="00915C7C">
        <w:t xml:space="preserve"> e H</w:t>
      </w:r>
      <w:r w:rsidRPr="00915C7C">
        <w:rPr>
          <w:vertAlign w:val="subscript"/>
        </w:rPr>
        <w:t>2</w:t>
      </w:r>
      <w:r w:rsidRPr="00915C7C">
        <w:t>O</w:t>
      </w:r>
      <w:r w:rsidRPr="00915C7C">
        <w:rPr>
          <w:vertAlign w:val="subscript"/>
        </w:rPr>
        <w:t>2</w:t>
      </w:r>
      <w:r w:rsidRPr="00915C7C">
        <w:t xml:space="preserve"> em água. Visto que houve uma redução na atividade dessas enzimas em animais do protocolo </w:t>
      </w:r>
      <w:r w:rsidRPr="00915C7C">
        <w:lastRenderedPageBreak/>
        <w:t>positivo, pode-se inferir que a capacidade de remoção de H</w:t>
      </w:r>
      <w:r w:rsidRPr="00915C7C">
        <w:rPr>
          <w:vertAlign w:val="subscript"/>
        </w:rPr>
        <w:t>2</w:t>
      </w:r>
      <w:r w:rsidRPr="00915C7C">
        <w:t>O</w:t>
      </w:r>
      <w:r w:rsidRPr="00915C7C">
        <w:rPr>
          <w:vertAlign w:val="subscript"/>
        </w:rPr>
        <w:t>2</w:t>
      </w:r>
      <w:r w:rsidRPr="00915C7C">
        <w:t xml:space="preserve"> será reduzida, indicando que o sistema antioxidante como um todo está comprometido, principalmente se observado em conjunto com os outros parâmetros. Resultados semelhantes foram encontrados por Comar </w:t>
      </w:r>
      <w:r w:rsidRPr="00915C7C">
        <w:rPr>
          <w:i/>
          <w:iCs/>
        </w:rPr>
        <w:t>et al</w:t>
      </w:r>
      <w:r w:rsidRPr="00915C7C">
        <w:t xml:space="preserve">. (2013), ao avaliarem a concentração hepática de catalase em ratos com artrite induzida por adjuvante e por Sukketsiri </w:t>
      </w:r>
      <w:r w:rsidRPr="00915C7C">
        <w:rPr>
          <w:i/>
          <w:iCs/>
        </w:rPr>
        <w:t>et al</w:t>
      </w:r>
      <w:r w:rsidRPr="00915C7C">
        <w:t>. (2016), ao avaliarem o fígado de ratos com artrite induzida por adjuvante.</w:t>
      </w:r>
    </w:p>
    <w:p w:rsidR="000E773D" w:rsidRPr="00915C7C" w:rsidRDefault="000E773D" w:rsidP="00915C7C">
      <w:pPr>
        <w:autoSpaceDE w:val="0"/>
        <w:autoSpaceDN w:val="0"/>
        <w:adjustRightInd w:val="0"/>
        <w:spacing w:after="0" w:line="360" w:lineRule="auto"/>
        <w:ind w:firstLine="567"/>
        <w:jc w:val="both"/>
      </w:pPr>
      <w:r w:rsidRPr="00915C7C">
        <w:t xml:space="preserve">Quanto à concentração de proteínas totais e suas frações no soro sanguíneo dos animais (Tabela 3), para o protocolo positivo, os valores de proteínas totais, albumina e relação albumina:globulina foram inferiores (P&lt;0,05) quando comparados aos valores determinados no soro de animais do </w:t>
      </w:r>
      <w:r w:rsidR="00F6013C" w:rsidRPr="00915C7C">
        <w:t>p</w:t>
      </w:r>
      <w:r w:rsidRPr="00915C7C">
        <w:t xml:space="preserve">rotocolo </w:t>
      </w:r>
      <w:r w:rsidR="00F6013C" w:rsidRPr="00915C7C">
        <w:t>c</w:t>
      </w:r>
      <w:r w:rsidR="00BF12C5">
        <w:t>ontrole, conforme expresso nas F</w:t>
      </w:r>
      <w:r w:rsidRPr="00915C7C">
        <w:t>iguras 4-A, 4-B e 4-D, respectivamente. Ainda assim, ocorreu exatamente o contrário para as globulinas, cujo valor foi superior (P&lt;0,05) para os animais do</w:t>
      </w:r>
      <w:r w:rsidR="00F6013C" w:rsidRPr="00915C7C">
        <w:t xml:space="preserve"> protocolo positivo, conforme expresso na figura 4-C.</w:t>
      </w:r>
    </w:p>
    <w:p w:rsidR="00B63948" w:rsidRPr="00915C7C" w:rsidRDefault="00B63948" w:rsidP="00915C7C">
      <w:pPr>
        <w:autoSpaceDE w:val="0"/>
        <w:autoSpaceDN w:val="0"/>
        <w:adjustRightInd w:val="0"/>
        <w:spacing w:after="0" w:line="360" w:lineRule="auto"/>
        <w:ind w:firstLine="567"/>
        <w:jc w:val="both"/>
      </w:pPr>
    </w:p>
    <w:p w:rsidR="00B63948" w:rsidRPr="00915C7C" w:rsidRDefault="00B63948" w:rsidP="00677B8A">
      <w:pPr>
        <w:pStyle w:val="Recuodecorpodetexto"/>
        <w:tabs>
          <w:tab w:val="left" w:pos="142"/>
        </w:tabs>
        <w:spacing w:after="0" w:line="360" w:lineRule="auto"/>
        <w:ind w:right="-1"/>
        <w:jc w:val="both"/>
        <w:rPr>
          <w:color w:val="0D0D0D"/>
          <w:lang w:val="pt-BR"/>
        </w:rPr>
      </w:pPr>
      <w:r w:rsidRPr="00915C7C">
        <w:rPr>
          <w:b/>
          <w:color w:val="0D0D0D"/>
          <w:lang w:val="pt-BR"/>
        </w:rPr>
        <w:t>Tabela 3.</w:t>
      </w:r>
      <w:r w:rsidRPr="00915C7C">
        <w:rPr>
          <w:color w:val="0D0D0D"/>
          <w:lang w:val="pt-BR"/>
        </w:rPr>
        <w:t xml:space="preserve"> Perfil de proteínas de fase aguda em leitões desmamados com artrite induzida por adjuvante na fase de lactação.</w:t>
      </w:r>
    </w:p>
    <w:tbl>
      <w:tblPr>
        <w:tblW w:w="4962" w:type="pct"/>
        <w:jc w:val="center"/>
        <w:tblBorders>
          <w:top w:val="single" w:sz="4" w:space="0" w:color="auto"/>
          <w:bottom w:val="single" w:sz="4" w:space="0" w:color="auto"/>
        </w:tblBorders>
        <w:tblCellMar>
          <w:top w:w="57" w:type="dxa"/>
          <w:left w:w="57" w:type="dxa"/>
          <w:bottom w:w="57" w:type="dxa"/>
          <w:right w:w="57" w:type="dxa"/>
        </w:tblCellMar>
        <w:tblLook w:val="04A0" w:firstRow="1" w:lastRow="0" w:firstColumn="1" w:lastColumn="0" w:noHBand="0" w:noVBand="1"/>
      </w:tblPr>
      <w:tblGrid>
        <w:gridCol w:w="3035"/>
        <w:gridCol w:w="2122"/>
        <w:gridCol w:w="2122"/>
        <w:gridCol w:w="884"/>
        <w:gridCol w:w="952"/>
      </w:tblGrid>
      <w:tr w:rsidR="001D4EFA" w:rsidRPr="00915C7C" w:rsidTr="001D4EFA">
        <w:trPr>
          <w:jc w:val="center"/>
        </w:trPr>
        <w:tc>
          <w:tcPr>
            <w:tcW w:w="1665" w:type="pct"/>
            <w:tcBorders>
              <w:bottom w:val="single" w:sz="4" w:space="0" w:color="auto"/>
            </w:tcBorders>
            <w:shd w:val="clear" w:color="auto" w:fill="auto"/>
            <w:vAlign w:val="center"/>
          </w:tcPr>
          <w:p w:rsidR="001D4EFA" w:rsidRPr="00915C7C" w:rsidRDefault="001D4EFA" w:rsidP="00915C7C">
            <w:pPr>
              <w:spacing w:after="0" w:line="360" w:lineRule="auto"/>
              <w:rPr>
                <w:rStyle w:val="apple-converted-space"/>
              </w:rPr>
            </w:pPr>
            <w:r w:rsidRPr="00915C7C">
              <w:rPr>
                <w:rStyle w:val="apple-converted-space"/>
              </w:rPr>
              <w:t>Variáveis</w:t>
            </w:r>
            <w:r w:rsidRPr="00915C7C">
              <w:rPr>
                <w:rStyle w:val="apple-converted-space"/>
                <w:vertAlign w:val="superscript"/>
              </w:rPr>
              <w:t>1</w:t>
            </w:r>
          </w:p>
        </w:tc>
        <w:tc>
          <w:tcPr>
            <w:tcW w:w="1164" w:type="pct"/>
            <w:tcBorders>
              <w:bottom w:val="single" w:sz="4" w:space="0" w:color="auto"/>
            </w:tcBorders>
          </w:tcPr>
          <w:p w:rsidR="001D4EFA" w:rsidRPr="00915C7C" w:rsidRDefault="001D4EFA" w:rsidP="00915C7C">
            <w:pPr>
              <w:spacing w:after="0" w:line="360" w:lineRule="auto"/>
              <w:jc w:val="center"/>
              <w:rPr>
                <w:rStyle w:val="apple-converted-space"/>
              </w:rPr>
            </w:pPr>
            <w:r w:rsidRPr="00915C7C">
              <w:rPr>
                <w:rStyle w:val="apple-converted-space"/>
              </w:rPr>
              <w:t>Protocolo Controle</w:t>
            </w:r>
          </w:p>
        </w:tc>
        <w:tc>
          <w:tcPr>
            <w:tcW w:w="1164" w:type="pct"/>
            <w:tcBorders>
              <w:bottom w:val="single" w:sz="4" w:space="0" w:color="auto"/>
            </w:tcBorders>
            <w:shd w:val="clear" w:color="auto" w:fill="auto"/>
          </w:tcPr>
          <w:p w:rsidR="001D4EFA" w:rsidRPr="00915C7C" w:rsidRDefault="001D4EFA" w:rsidP="00915C7C">
            <w:pPr>
              <w:spacing w:after="0" w:line="360" w:lineRule="auto"/>
              <w:jc w:val="center"/>
              <w:rPr>
                <w:rStyle w:val="apple-converted-space"/>
              </w:rPr>
            </w:pPr>
            <w:r w:rsidRPr="00915C7C">
              <w:rPr>
                <w:rStyle w:val="apple-converted-space"/>
              </w:rPr>
              <w:t>Protocolo Positivo</w:t>
            </w:r>
          </w:p>
        </w:tc>
        <w:tc>
          <w:tcPr>
            <w:tcW w:w="485" w:type="pct"/>
            <w:tcBorders>
              <w:bottom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EPM</w:t>
            </w:r>
            <w:r w:rsidRPr="00915C7C">
              <w:rPr>
                <w:rStyle w:val="apple-converted-space"/>
                <w:vertAlign w:val="superscript"/>
              </w:rPr>
              <w:t>2</w:t>
            </w:r>
          </w:p>
        </w:tc>
        <w:tc>
          <w:tcPr>
            <w:tcW w:w="522" w:type="pct"/>
            <w:tcBorders>
              <w:bottom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P-Valor</w:t>
            </w:r>
          </w:p>
        </w:tc>
      </w:tr>
      <w:tr w:rsidR="001D4EFA" w:rsidRPr="00915C7C" w:rsidTr="001D4EFA">
        <w:trPr>
          <w:trHeight w:val="208"/>
          <w:jc w:val="center"/>
        </w:trPr>
        <w:tc>
          <w:tcPr>
            <w:tcW w:w="1665" w:type="pct"/>
            <w:tcBorders>
              <w:top w:val="single" w:sz="4" w:space="0" w:color="auto"/>
              <w:bottom w:val="nil"/>
              <w:right w:val="nil"/>
            </w:tcBorders>
            <w:shd w:val="clear" w:color="auto" w:fill="auto"/>
          </w:tcPr>
          <w:p w:rsidR="001D4EFA" w:rsidRPr="00915C7C" w:rsidRDefault="001D4EFA" w:rsidP="00915C7C">
            <w:pPr>
              <w:spacing w:after="0" w:line="360" w:lineRule="auto"/>
              <w:rPr>
                <w:rStyle w:val="apple-converted-space"/>
              </w:rPr>
            </w:pPr>
            <w:r w:rsidRPr="00915C7C">
              <w:rPr>
                <w:rStyle w:val="apple-converted-space"/>
              </w:rPr>
              <w:t>Proteínas totais (mg.dL</w:t>
            </w:r>
            <w:r w:rsidRPr="00915C7C">
              <w:rPr>
                <w:rStyle w:val="apple-converted-space"/>
                <w:vertAlign w:val="superscript"/>
              </w:rPr>
              <w:t>-1</w:t>
            </w:r>
            <w:r w:rsidRPr="00915C7C">
              <w:rPr>
                <w:rStyle w:val="apple-converted-space"/>
              </w:rPr>
              <w:t>)</w:t>
            </w:r>
          </w:p>
        </w:tc>
        <w:tc>
          <w:tcPr>
            <w:tcW w:w="1164" w:type="pct"/>
            <w:tcBorders>
              <w:top w:val="single" w:sz="4" w:space="0" w:color="auto"/>
              <w:bottom w:val="nil"/>
              <w:right w:val="nil"/>
            </w:tcBorders>
            <w:vAlign w:val="center"/>
          </w:tcPr>
          <w:p w:rsidR="001D4EFA" w:rsidRPr="00915C7C" w:rsidRDefault="001D4EFA" w:rsidP="00915C7C">
            <w:pPr>
              <w:spacing w:after="0" w:line="360" w:lineRule="auto"/>
              <w:jc w:val="center"/>
              <w:rPr>
                <w:rStyle w:val="apple-converted-space"/>
              </w:rPr>
            </w:pPr>
            <w:r w:rsidRPr="00915C7C">
              <w:rPr>
                <w:rStyle w:val="apple-converted-space"/>
              </w:rPr>
              <w:t>4720</w:t>
            </w:r>
            <w:r w:rsidRPr="00915C7C">
              <w:rPr>
                <w:rStyle w:val="apple-converted-space"/>
                <w:vertAlign w:val="superscript"/>
              </w:rPr>
              <w:t>a</w:t>
            </w:r>
            <w:r w:rsidRPr="00915C7C">
              <w:rPr>
                <w:rStyle w:val="apple-converted-space"/>
              </w:rPr>
              <w:t xml:space="preserve"> (100%)</w:t>
            </w:r>
          </w:p>
        </w:tc>
        <w:tc>
          <w:tcPr>
            <w:tcW w:w="1164" w:type="pct"/>
            <w:tcBorders>
              <w:top w:val="single" w:sz="4" w:space="0" w:color="auto"/>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4511</w:t>
            </w:r>
            <w:r w:rsidRPr="00915C7C">
              <w:rPr>
                <w:rStyle w:val="apple-converted-space"/>
                <w:vertAlign w:val="superscript"/>
              </w:rPr>
              <w:t>b</w:t>
            </w:r>
            <w:r w:rsidRPr="00915C7C">
              <w:rPr>
                <w:rStyle w:val="apple-converted-space"/>
              </w:rPr>
              <w:t xml:space="preserve"> (100%)</w:t>
            </w:r>
            <w:r w:rsidRPr="00915C7C">
              <w:rPr>
                <w:rStyle w:val="apple-converted-space"/>
                <w:vertAlign w:val="superscript"/>
              </w:rPr>
              <w:t>3</w:t>
            </w:r>
          </w:p>
        </w:tc>
        <w:tc>
          <w:tcPr>
            <w:tcW w:w="485" w:type="pct"/>
            <w:tcBorders>
              <w:top w:val="single" w:sz="4" w:space="0" w:color="auto"/>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336</w:t>
            </w:r>
          </w:p>
        </w:tc>
        <w:tc>
          <w:tcPr>
            <w:tcW w:w="522" w:type="pct"/>
            <w:tcBorders>
              <w:top w:val="single" w:sz="4" w:space="0" w:color="auto"/>
              <w:left w:val="nil"/>
              <w:bottom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0,004</w:t>
            </w:r>
          </w:p>
        </w:tc>
      </w:tr>
      <w:tr w:rsidR="001D4EFA" w:rsidRPr="00915C7C" w:rsidTr="001D4EFA">
        <w:trPr>
          <w:jc w:val="center"/>
        </w:trPr>
        <w:tc>
          <w:tcPr>
            <w:tcW w:w="1665" w:type="pct"/>
            <w:tcBorders>
              <w:top w:val="nil"/>
              <w:bottom w:val="nil"/>
              <w:right w:val="nil"/>
            </w:tcBorders>
            <w:shd w:val="clear" w:color="auto" w:fill="auto"/>
          </w:tcPr>
          <w:p w:rsidR="001D4EFA" w:rsidRPr="00915C7C" w:rsidRDefault="001D4EFA" w:rsidP="00915C7C">
            <w:pPr>
              <w:spacing w:after="0" w:line="360" w:lineRule="auto"/>
              <w:rPr>
                <w:rStyle w:val="apple-converted-space"/>
              </w:rPr>
            </w:pPr>
            <w:r w:rsidRPr="00915C7C">
              <w:rPr>
                <w:rStyle w:val="apple-converted-space"/>
              </w:rPr>
              <w:t>Albumina (mg.dL</w:t>
            </w:r>
            <w:r w:rsidRPr="00915C7C">
              <w:rPr>
                <w:rStyle w:val="apple-converted-space"/>
                <w:vertAlign w:val="superscript"/>
              </w:rPr>
              <w:t>-1</w:t>
            </w:r>
            <w:r w:rsidRPr="00915C7C">
              <w:rPr>
                <w:rStyle w:val="apple-converted-space"/>
              </w:rPr>
              <w:t>)</w:t>
            </w:r>
          </w:p>
        </w:tc>
        <w:tc>
          <w:tcPr>
            <w:tcW w:w="1164" w:type="pct"/>
            <w:tcBorders>
              <w:top w:val="nil"/>
              <w:bottom w:val="nil"/>
              <w:right w:val="nil"/>
            </w:tcBorders>
            <w:vAlign w:val="center"/>
          </w:tcPr>
          <w:p w:rsidR="001D4EFA" w:rsidRPr="00915C7C" w:rsidRDefault="001D4EFA" w:rsidP="00915C7C">
            <w:pPr>
              <w:spacing w:after="0" w:line="360" w:lineRule="auto"/>
              <w:jc w:val="center"/>
              <w:rPr>
                <w:rStyle w:val="apple-converted-space"/>
              </w:rPr>
            </w:pPr>
            <w:r w:rsidRPr="00915C7C">
              <w:rPr>
                <w:rStyle w:val="apple-converted-space"/>
              </w:rPr>
              <w:t>2831</w:t>
            </w:r>
            <w:r w:rsidRPr="00915C7C">
              <w:rPr>
                <w:rStyle w:val="apple-converted-space"/>
                <w:vertAlign w:val="superscript"/>
              </w:rPr>
              <w:t>a</w:t>
            </w:r>
            <w:r w:rsidRPr="00915C7C">
              <w:rPr>
                <w:rStyle w:val="apple-converted-space"/>
              </w:rPr>
              <w:t xml:space="preserve"> (59,96%)</w:t>
            </w:r>
          </w:p>
        </w:tc>
        <w:tc>
          <w:tcPr>
            <w:tcW w:w="1164" w:type="pct"/>
            <w:tcBorders>
              <w:top w:val="nil"/>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2330</w:t>
            </w:r>
            <w:r w:rsidRPr="00915C7C">
              <w:rPr>
                <w:rStyle w:val="apple-converted-space"/>
                <w:vertAlign w:val="superscript"/>
              </w:rPr>
              <w:t>b</w:t>
            </w:r>
            <w:r w:rsidRPr="00915C7C">
              <w:rPr>
                <w:rStyle w:val="apple-converted-space"/>
              </w:rPr>
              <w:t xml:space="preserve"> (51,66%)</w:t>
            </w:r>
          </w:p>
        </w:tc>
        <w:tc>
          <w:tcPr>
            <w:tcW w:w="485" w:type="pct"/>
            <w:tcBorders>
              <w:top w:val="nil"/>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444</w:t>
            </w:r>
          </w:p>
        </w:tc>
        <w:tc>
          <w:tcPr>
            <w:tcW w:w="522" w:type="pct"/>
            <w:tcBorders>
              <w:top w:val="nil"/>
              <w:left w:val="nil"/>
              <w:bottom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&lt;0,001</w:t>
            </w:r>
          </w:p>
        </w:tc>
      </w:tr>
      <w:tr w:rsidR="001D4EFA" w:rsidRPr="00915C7C" w:rsidTr="001D4EFA">
        <w:trPr>
          <w:jc w:val="center"/>
        </w:trPr>
        <w:tc>
          <w:tcPr>
            <w:tcW w:w="1665" w:type="pct"/>
            <w:tcBorders>
              <w:top w:val="nil"/>
              <w:bottom w:val="nil"/>
              <w:right w:val="nil"/>
            </w:tcBorders>
            <w:shd w:val="clear" w:color="auto" w:fill="auto"/>
          </w:tcPr>
          <w:p w:rsidR="001D4EFA" w:rsidRPr="00915C7C" w:rsidRDefault="001D4EFA" w:rsidP="00915C7C">
            <w:pPr>
              <w:spacing w:after="0" w:line="360" w:lineRule="auto"/>
              <w:rPr>
                <w:rStyle w:val="apple-converted-space"/>
              </w:rPr>
            </w:pPr>
            <w:r w:rsidRPr="00915C7C">
              <w:rPr>
                <w:rStyle w:val="apple-converted-space"/>
              </w:rPr>
              <w:t>Globulinas (mg.dL</w:t>
            </w:r>
            <w:r w:rsidRPr="00915C7C">
              <w:rPr>
                <w:rStyle w:val="apple-converted-space"/>
                <w:vertAlign w:val="superscript"/>
              </w:rPr>
              <w:t>-1</w:t>
            </w:r>
            <w:r w:rsidRPr="00915C7C">
              <w:rPr>
                <w:rStyle w:val="apple-converted-space"/>
              </w:rPr>
              <w:t>)</w:t>
            </w:r>
          </w:p>
        </w:tc>
        <w:tc>
          <w:tcPr>
            <w:tcW w:w="1164" w:type="pct"/>
            <w:tcBorders>
              <w:top w:val="nil"/>
              <w:bottom w:val="nil"/>
              <w:right w:val="nil"/>
            </w:tcBorders>
            <w:vAlign w:val="center"/>
          </w:tcPr>
          <w:p w:rsidR="001D4EFA" w:rsidRPr="00915C7C" w:rsidRDefault="001D4EFA" w:rsidP="00915C7C">
            <w:pPr>
              <w:spacing w:after="0" w:line="360" w:lineRule="auto"/>
              <w:jc w:val="center"/>
              <w:rPr>
                <w:rStyle w:val="apple-converted-space"/>
              </w:rPr>
            </w:pPr>
            <w:r w:rsidRPr="00915C7C">
              <w:rPr>
                <w:rStyle w:val="apple-converted-space"/>
              </w:rPr>
              <w:t>1892</w:t>
            </w:r>
            <w:r w:rsidRPr="00915C7C">
              <w:rPr>
                <w:rStyle w:val="apple-converted-space"/>
                <w:vertAlign w:val="superscript"/>
              </w:rPr>
              <w:t>b</w:t>
            </w:r>
            <w:r w:rsidRPr="00915C7C">
              <w:rPr>
                <w:rStyle w:val="apple-converted-space"/>
              </w:rPr>
              <w:t xml:space="preserve"> (40,04%)</w:t>
            </w:r>
          </w:p>
        </w:tc>
        <w:tc>
          <w:tcPr>
            <w:tcW w:w="1164" w:type="pct"/>
            <w:tcBorders>
              <w:top w:val="nil"/>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2183</w:t>
            </w:r>
            <w:r w:rsidRPr="00915C7C">
              <w:rPr>
                <w:rStyle w:val="apple-converted-space"/>
                <w:vertAlign w:val="superscript"/>
              </w:rPr>
              <w:t>a</w:t>
            </w:r>
            <w:r w:rsidRPr="00915C7C">
              <w:rPr>
                <w:rStyle w:val="apple-converted-space"/>
              </w:rPr>
              <w:t xml:space="preserve"> (48,34%)</w:t>
            </w:r>
          </w:p>
        </w:tc>
        <w:tc>
          <w:tcPr>
            <w:tcW w:w="485" w:type="pct"/>
            <w:tcBorders>
              <w:top w:val="nil"/>
              <w:left w:val="nil"/>
              <w:bottom w:val="nil"/>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458</w:t>
            </w:r>
          </w:p>
        </w:tc>
        <w:tc>
          <w:tcPr>
            <w:tcW w:w="522" w:type="pct"/>
            <w:tcBorders>
              <w:top w:val="nil"/>
              <w:left w:val="nil"/>
              <w:bottom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0,005</w:t>
            </w:r>
          </w:p>
        </w:tc>
      </w:tr>
      <w:tr w:rsidR="001D4EFA" w:rsidRPr="00915C7C" w:rsidTr="001D4EFA">
        <w:trPr>
          <w:jc w:val="center"/>
        </w:trPr>
        <w:tc>
          <w:tcPr>
            <w:tcW w:w="1665" w:type="pct"/>
            <w:tcBorders>
              <w:top w:val="nil"/>
              <w:bottom w:val="single" w:sz="4" w:space="0" w:color="auto"/>
              <w:right w:val="nil"/>
            </w:tcBorders>
            <w:shd w:val="clear" w:color="auto" w:fill="auto"/>
          </w:tcPr>
          <w:p w:rsidR="001D4EFA" w:rsidRPr="00915C7C" w:rsidRDefault="001D4EFA" w:rsidP="00915C7C">
            <w:pPr>
              <w:spacing w:after="0" w:line="360" w:lineRule="auto"/>
              <w:rPr>
                <w:rStyle w:val="apple-converted-space"/>
              </w:rPr>
            </w:pPr>
            <w:r w:rsidRPr="00915C7C">
              <w:rPr>
                <w:rStyle w:val="apple-converted-space"/>
              </w:rPr>
              <w:t>Albumina:Globulinas</w:t>
            </w:r>
          </w:p>
        </w:tc>
        <w:tc>
          <w:tcPr>
            <w:tcW w:w="1164" w:type="pct"/>
            <w:tcBorders>
              <w:top w:val="nil"/>
              <w:bottom w:val="single" w:sz="4" w:space="0" w:color="auto"/>
              <w:right w:val="nil"/>
            </w:tcBorders>
            <w:vAlign w:val="center"/>
          </w:tcPr>
          <w:p w:rsidR="001D4EFA" w:rsidRPr="00915C7C" w:rsidRDefault="001D4EFA" w:rsidP="00915C7C">
            <w:pPr>
              <w:spacing w:after="0" w:line="360" w:lineRule="auto"/>
              <w:jc w:val="center"/>
              <w:rPr>
                <w:rStyle w:val="apple-converted-space"/>
              </w:rPr>
            </w:pPr>
            <w:r w:rsidRPr="00915C7C">
              <w:rPr>
                <w:rStyle w:val="apple-converted-space"/>
              </w:rPr>
              <w:t>1,55</w:t>
            </w:r>
            <w:r w:rsidRPr="00915C7C">
              <w:rPr>
                <w:rStyle w:val="apple-converted-space"/>
                <w:vertAlign w:val="superscript"/>
              </w:rPr>
              <w:t>a</w:t>
            </w:r>
          </w:p>
        </w:tc>
        <w:tc>
          <w:tcPr>
            <w:tcW w:w="1164" w:type="pct"/>
            <w:tcBorders>
              <w:top w:val="nil"/>
              <w:left w:val="nil"/>
              <w:bottom w:val="single" w:sz="4" w:space="0" w:color="auto"/>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1,09</w:t>
            </w:r>
            <w:r w:rsidRPr="00915C7C">
              <w:rPr>
                <w:rStyle w:val="apple-converted-space"/>
                <w:vertAlign w:val="superscript"/>
              </w:rPr>
              <w:t>b</w:t>
            </w:r>
          </w:p>
        </w:tc>
        <w:tc>
          <w:tcPr>
            <w:tcW w:w="485" w:type="pct"/>
            <w:tcBorders>
              <w:top w:val="nil"/>
              <w:left w:val="nil"/>
              <w:bottom w:val="single" w:sz="4" w:space="0" w:color="auto"/>
              <w:right w:val="nil"/>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0,45</w:t>
            </w:r>
          </w:p>
        </w:tc>
        <w:tc>
          <w:tcPr>
            <w:tcW w:w="522" w:type="pct"/>
            <w:tcBorders>
              <w:top w:val="nil"/>
              <w:left w:val="nil"/>
              <w:bottom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&lt;0,001</w:t>
            </w:r>
          </w:p>
        </w:tc>
      </w:tr>
      <w:tr w:rsidR="001D4EFA" w:rsidRPr="00915C7C" w:rsidTr="001D4EFA">
        <w:trPr>
          <w:jc w:val="center"/>
        </w:trPr>
        <w:tc>
          <w:tcPr>
            <w:tcW w:w="1665" w:type="pct"/>
            <w:tcBorders>
              <w:top w:val="single" w:sz="4" w:space="0" w:color="auto"/>
            </w:tcBorders>
            <w:shd w:val="clear" w:color="auto" w:fill="auto"/>
          </w:tcPr>
          <w:p w:rsidR="001D4EFA" w:rsidRPr="00915C7C" w:rsidRDefault="001D4EFA" w:rsidP="00915C7C">
            <w:pPr>
              <w:spacing w:after="0" w:line="360" w:lineRule="auto"/>
              <w:rPr>
                <w:rStyle w:val="apple-converted-space"/>
              </w:rPr>
            </w:pPr>
            <w:r w:rsidRPr="00915C7C">
              <w:rPr>
                <w:rStyle w:val="apple-converted-space"/>
              </w:rPr>
              <w:t>IgA (mg.dL</w:t>
            </w:r>
            <w:r w:rsidRPr="00915C7C">
              <w:rPr>
                <w:rStyle w:val="apple-converted-space"/>
                <w:vertAlign w:val="superscript"/>
              </w:rPr>
              <w:t>-1</w:t>
            </w:r>
            <w:r w:rsidRPr="00915C7C">
              <w:rPr>
                <w:rStyle w:val="apple-converted-space"/>
              </w:rPr>
              <w:t>)</w:t>
            </w:r>
          </w:p>
        </w:tc>
        <w:tc>
          <w:tcPr>
            <w:tcW w:w="1164" w:type="pct"/>
            <w:tcBorders>
              <w:top w:val="single" w:sz="4" w:space="0" w:color="auto"/>
            </w:tcBorders>
            <w:vAlign w:val="center"/>
          </w:tcPr>
          <w:p w:rsidR="001D4EFA" w:rsidRPr="00915C7C" w:rsidRDefault="001D4EFA" w:rsidP="00915C7C">
            <w:pPr>
              <w:spacing w:after="0" w:line="360" w:lineRule="auto"/>
              <w:jc w:val="center"/>
              <w:rPr>
                <w:rStyle w:val="apple-converted-space"/>
              </w:rPr>
            </w:pPr>
            <w:r w:rsidRPr="00915C7C">
              <w:rPr>
                <w:rStyle w:val="apple-converted-space"/>
              </w:rPr>
              <w:t>70,25 (1,49%)</w:t>
            </w:r>
          </w:p>
        </w:tc>
        <w:tc>
          <w:tcPr>
            <w:tcW w:w="1164" w:type="pct"/>
            <w:tcBorders>
              <w:top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79,12 (1,75%)</w:t>
            </w:r>
          </w:p>
        </w:tc>
        <w:tc>
          <w:tcPr>
            <w:tcW w:w="485" w:type="pct"/>
            <w:tcBorders>
              <w:top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6,46</w:t>
            </w:r>
          </w:p>
        </w:tc>
        <w:tc>
          <w:tcPr>
            <w:tcW w:w="522" w:type="pct"/>
            <w:tcBorders>
              <w:top w:val="single" w:sz="4" w:space="0" w:color="auto"/>
            </w:tcBorders>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0,503</w:t>
            </w:r>
          </w:p>
        </w:tc>
      </w:tr>
      <w:tr w:rsidR="001D4EFA" w:rsidRPr="00915C7C" w:rsidTr="001D4EFA">
        <w:trPr>
          <w:trHeight w:val="90"/>
          <w:jc w:val="center"/>
        </w:trPr>
        <w:tc>
          <w:tcPr>
            <w:tcW w:w="1665" w:type="pct"/>
            <w:shd w:val="clear" w:color="auto" w:fill="auto"/>
          </w:tcPr>
          <w:p w:rsidR="001D4EFA" w:rsidRPr="00915C7C" w:rsidRDefault="001D4EFA" w:rsidP="00915C7C">
            <w:pPr>
              <w:spacing w:after="0" w:line="360" w:lineRule="auto"/>
              <w:rPr>
                <w:rStyle w:val="apple-converted-space"/>
              </w:rPr>
            </w:pPr>
            <w:r w:rsidRPr="00915C7C">
              <w:rPr>
                <w:rStyle w:val="apple-converted-space"/>
              </w:rPr>
              <w:t>IgG (mg.dL</w:t>
            </w:r>
            <w:r w:rsidRPr="00915C7C">
              <w:rPr>
                <w:rStyle w:val="apple-converted-space"/>
                <w:vertAlign w:val="superscript"/>
              </w:rPr>
              <w:t>-1</w:t>
            </w:r>
            <w:r w:rsidRPr="00915C7C">
              <w:rPr>
                <w:rStyle w:val="apple-converted-space"/>
              </w:rPr>
              <w:t>)</w:t>
            </w:r>
          </w:p>
        </w:tc>
        <w:tc>
          <w:tcPr>
            <w:tcW w:w="1164" w:type="pct"/>
            <w:vAlign w:val="center"/>
          </w:tcPr>
          <w:p w:rsidR="001D4EFA" w:rsidRPr="00915C7C" w:rsidRDefault="001D4EFA" w:rsidP="00915C7C">
            <w:pPr>
              <w:spacing w:after="0" w:line="360" w:lineRule="auto"/>
              <w:jc w:val="center"/>
              <w:rPr>
                <w:rStyle w:val="apple-converted-space"/>
              </w:rPr>
            </w:pPr>
            <w:r w:rsidRPr="00915C7C">
              <w:rPr>
                <w:rStyle w:val="apple-converted-space"/>
              </w:rPr>
              <w:t>709,58(12,56%)</w:t>
            </w:r>
          </w:p>
        </w:tc>
        <w:tc>
          <w:tcPr>
            <w:tcW w:w="1164"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546,94(12,09%)</w:t>
            </w:r>
          </w:p>
        </w:tc>
        <w:tc>
          <w:tcPr>
            <w:tcW w:w="485"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24,30</w:t>
            </w:r>
          </w:p>
        </w:tc>
        <w:tc>
          <w:tcPr>
            <w:tcW w:w="522"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0,150</w:t>
            </w:r>
          </w:p>
        </w:tc>
      </w:tr>
      <w:tr w:rsidR="001D4EFA" w:rsidRPr="00915C7C" w:rsidTr="001D4EFA">
        <w:trPr>
          <w:trHeight w:val="90"/>
          <w:jc w:val="center"/>
        </w:trPr>
        <w:tc>
          <w:tcPr>
            <w:tcW w:w="1665" w:type="pct"/>
            <w:shd w:val="clear" w:color="auto" w:fill="auto"/>
          </w:tcPr>
          <w:p w:rsidR="001D4EFA" w:rsidRPr="00915C7C" w:rsidRDefault="001D4EFA" w:rsidP="00915C7C">
            <w:pPr>
              <w:spacing w:after="0" w:line="360" w:lineRule="auto"/>
              <w:rPr>
                <w:rStyle w:val="apple-converted-space"/>
              </w:rPr>
            </w:pPr>
            <w:r w:rsidRPr="00915C7C">
              <w:rPr>
                <w:rStyle w:val="apple-converted-space"/>
              </w:rPr>
              <w:t>Transferrina (mg.dL</w:t>
            </w:r>
            <w:r w:rsidRPr="00915C7C">
              <w:rPr>
                <w:rStyle w:val="apple-converted-space"/>
                <w:vertAlign w:val="superscript"/>
              </w:rPr>
              <w:t>-1</w:t>
            </w:r>
            <w:r w:rsidRPr="00915C7C">
              <w:rPr>
                <w:rStyle w:val="apple-converted-space"/>
              </w:rPr>
              <w:t>)</w:t>
            </w:r>
          </w:p>
        </w:tc>
        <w:tc>
          <w:tcPr>
            <w:tcW w:w="1164" w:type="pct"/>
            <w:vAlign w:val="center"/>
          </w:tcPr>
          <w:p w:rsidR="001D4EFA" w:rsidRPr="00915C7C" w:rsidRDefault="001D4EFA" w:rsidP="00915C7C">
            <w:pPr>
              <w:spacing w:after="0" w:line="360" w:lineRule="auto"/>
              <w:jc w:val="center"/>
              <w:rPr>
                <w:rStyle w:val="apple-converted-space"/>
              </w:rPr>
            </w:pPr>
            <w:r w:rsidRPr="00915C7C">
              <w:rPr>
                <w:rStyle w:val="apple-converted-space"/>
              </w:rPr>
              <w:t>437,75 (8,91%)</w:t>
            </w:r>
          </w:p>
        </w:tc>
        <w:tc>
          <w:tcPr>
            <w:tcW w:w="1164" w:type="pct"/>
            <w:shd w:val="clear" w:color="auto" w:fill="auto"/>
            <w:vAlign w:val="center"/>
          </w:tcPr>
          <w:p w:rsidR="001D4EFA" w:rsidRPr="00915C7C" w:rsidRDefault="001D4EFA" w:rsidP="00915C7C">
            <w:pPr>
              <w:spacing w:after="0" w:line="360" w:lineRule="auto"/>
              <w:jc w:val="center"/>
              <w:rPr>
                <w:rStyle w:val="apple-converted-space"/>
              </w:rPr>
            </w:pPr>
            <w:bookmarkStart w:id="17" w:name="OLE_LINK23"/>
            <w:r w:rsidRPr="00915C7C">
              <w:rPr>
                <w:rStyle w:val="apple-converted-space"/>
              </w:rPr>
              <w:t xml:space="preserve">401,187 </w:t>
            </w:r>
            <w:bookmarkEnd w:id="17"/>
            <w:r w:rsidRPr="00915C7C">
              <w:rPr>
                <w:rStyle w:val="apple-converted-space"/>
              </w:rPr>
              <w:t>(8,88%)</w:t>
            </w:r>
          </w:p>
        </w:tc>
        <w:tc>
          <w:tcPr>
            <w:tcW w:w="485"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12,45</w:t>
            </w:r>
          </w:p>
        </w:tc>
        <w:tc>
          <w:tcPr>
            <w:tcW w:w="522"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0,158</w:t>
            </w:r>
          </w:p>
        </w:tc>
      </w:tr>
      <w:tr w:rsidR="001D4EFA" w:rsidRPr="00915C7C" w:rsidTr="001D4EFA">
        <w:trPr>
          <w:trHeight w:val="90"/>
          <w:jc w:val="center"/>
        </w:trPr>
        <w:tc>
          <w:tcPr>
            <w:tcW w:w="1665" w:type="pct"/>
            <w:shd w:val="clear" w:color="auto" w:fill="auto"/>
          </w:tcPr>
          <w:p w:rsidR="001D4EFA" w:rsidRPr="00915C7C" w:rsidRDefault="001D4EFA" w:rsidP="00915C7C">
            <w:pPr>
              <w:spacing w:after="0" w:line="360" w:lineRule="auto"/>
              <w:rPr>
                <w:rStyle w:val="apple-converted-space"/>
              </w:rPr>
            </w:pPr>
            <w:r w:rsidRPr="00915C7C">
              <w:rPr>
                <w:rStyle w:val="apple-converted-space"/>
              </w:rPr>
              <w:t>Ceruloplasmina (mg.dL</w:t>
            </w:r>
            <w:r w:rsidRPr="00915C7C">
              <w:rPr>
                <w:rStyle w:val="apple-converted-space"/>
                <w:vertAlign w:val="superscript"/>
              </w:rPr>
              <w:t>-1</w:t>
            </w:r>
            <w:r w:rsidRPr="00915C7C">
              <w:rPr>
                <w:rStyle w:val="apple-converted-space"/>
              </w:rPr>
              <w:t>)</w:t>
            </w:r>
          </w:p>
        </w:tc>
        <w:tc>
          <w:tcPr>
            <w:tcW w:w="1164" w:type="pct"/>
            <w:vAlign w:val="center"/>
          </w:tcPr>
          <w:p w:rsidR="001D4EFA" w:rsidRPr="00915C7C" w:rsidRDefault="001D4EFA" w:rsidP="00915C7C">
            <w:pPr>
              <w:spacing w:after="0" w:line="360" w:lineRule="auto"/>
              <w:jc w:val="center"/>
              <w:rPr>
                <w:rStyle w:val="apple-converted-space"/>
              </w:rPr>
            </w:pPr>
            <w:r w:rsidRPr="00915C7C">
              <w:rPr>
                <w:rStyle w:val="apple-converted-space"/>
              </w:rPr>
              <w:t>50,92 (1,44%)</w:t>
            </w:r>
          </w:p>
        </w:tc>
        <w:tc>
          <w:tcPr>
            <w:tcW w:w="1164" w:type="pct"/>
            <w:shd w:val="clear" w:color="auto" w:fill="auto"/>
            <w:vAlign w:val="center"/>
          </w:tcPr>
          <w:p w:rsidR="001D4EFA" w:rsidRPr="00915C7C" w:rsidRDefault="001D4EFA" w:rsidP="00915C7C">
            <w:pPr>
              <w:spacing w:after="0" w:line="360" w:lineRule="auto"/>
              <w:jc w:val="center"/>
              <w:rPr>
                <w:rStyle w:val="apple-converted-space"/>
              </w:rPr>
            </w:pPr>
            <w:bookmarkStart w:id="18" w:name="OLE_LINK24"/>
            <w:r w:rsidRPr="00915C7C">
              <w:rPr>
                <w:rStyle w:val="apple-converted-space"/>
              </w:rPr>
              <w:t xml:space="preserve">60,62 </w:t>
            </w:r>
            <w:bookmarkEnd w:id="18"/>
            <w:r w:rsidRPr="00915C7C">
              <w:rPr>
                <w:rStyle w:val="apple-converted-space"/>
              </w:rPr>
              <w:t>(1,45%)</w:t>
            </w:r>
          </w:p>
        </w:tc>
        <w:tc>
          <w:tcPr>
            <w:tcW w:w="485"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4,38</w:t>
            </w:r>
          </w:p>
        </w:tc>
        <w:tc>
          <w:tcPr>
            <w:tcW w:w="522"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0,140</w:t>
            </w:r>
          </w:p>
        </w:tc>
      </w:tr>
      <w:tr w:rsidR="001D4EFA" w:rsidRPr="00915C7C" w:rsidTr="001D4EFA">
        <w:trPr>
          <w:trHeight w:val="90"/>
          <w:jc w:val="center"/>
        </w:trPr>
        <w:tc>
          <w:tcPr>
            <w:tcW w:w="1665" w:type="pct"/>
            <w:shd w:val="clear" w:color="auto" w:fill="auto"/>
          </w:tcPr>
          <w:p w:rsidR="001D4EFA" w:rsidRPr="00915C7C" w:rsidRDefault="001D4EFA" w:rsidP="00915C7C">
            <w:pPr>
              <w:spacing w:after="0" w:line="360" w:lineRule="auto"/>
              <w:rPr>
                <w:rStyle w:val="apple-converted-space"/>
              </w:rPr>
            </w:pPr>
            <w:r w:rsidRPr="00915C7C">
              <w:rPr>
                <w:rStyle w:val="apple-converted-space"/>
              </w:rPr>
              <w:t>Haptoglobina (mg.dL</w:t>
            </w:r>
            <w:r w:rsidRPr="00915C7C">
              <w:rPr>
                <w:rStyle w:val="apple-converted-space"/>
                <w:vertAlign w:val="superscript"/>
              </w:rPr>
              <w:t>-1</w:t>
            </w:r>
            <w:r w:rsidRPr="00915C7C">
              <w:rPr>
                <w:rStyle w:val="apple-converted-space"/>
              </w:rPr>
              <w:t>)</w:t>
            </w:r>
          </w:p>
        </w:tc>
        <w:tc>
          <w:tcPr>
            <w:tcW w:w="1164" w:type="pct"/>
            <w:vAlign w:val="center"/>
          </w:tcPr>
          <w:p w:rsidR="001D4EFA" w:rsidRPr="00915C7C" w:rsidRDefault="001D4EFA" w:rsidP="00915C7C">
            <w:pPr>
              <w:spacing w:after="0" w:line="360" w:lineRule="auto"/>
              <w:jc w:val="center"/>
              <w:rPr>
                <w:rStyle w:val="apple-converted-space"/>
              </w:rPr>
            </w:pPr>
            <w:r w:rsidRPr="00915C7C">
              <w:rPr>
                <w:rStyle w:val="apple-converted-space"/>
              </w:rPr>
              <w:t>58,42 (1,02%)</w:t>
            </w:r>
          </w:p>
        </w:tc>
        <w:tc>
          <w:tcPr>
            <w:tcW w:w="1164" w:type="pct"/>
            <w:shd w:val="clear" w:color="auto" w:fill="auto"/>
            <w:vAlign w:val="center"/>
          </w:tcPr>
          <w:p w:rsidR="001D4EFA" w:rsidRPr="00915C7C" w:rsidRDefault="001D4EFA" w:rsidP="00915C7C">
            <w:pPr>
              <w:spacing w:after="0" w:line="360" w:lineRule="auto"/>
              <w:jc w:val="center"/>
              <w:rPr>
                <w:rStyle w:val="apple-converted-space"/>
              </w:rPr>
            </w:pPr>
            <w:bookmarkStart w:id="19" w:name="OLE_LINK25"/>
            <w:r w:rsidRPr="00915C7C">
              <w:rPr>
                <w:rStyle w:val="apple-converted-space"/>
              </w:rPr>
              <w:t xml:space="preserve">48,19 </w:t>
            </w:r>
            <w:bookmarkEnd w:id="19"/>
            <w:r w:rsidRPr="00915C7C">
              <w:rPr>
                <w:rStyle w:val="apple-converted-space"/>
              </w:rPr>
              <w:t>(1,06%)</w:t>
            </w:r>
          </w:p>
        </w:tc>
        <w:tc>
          <w:tcPr>
            <w:tcW w:w="485"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3,76</w:t>
            </w:r>
          </w:p>
        </w:tc>
        <w:tc>
          <w:tcPr>
            <w:tcW w:w="522"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0,190</w:t>
            </w:r>
          </w:p>
        </w:tc>
      </w:tr>
      <w:tr w:rsidR="001D4EFA" w:rsidRPr="00915C7C" w:rsidTr="001D4EFA">
        <w:trPr>
          <w:trHeight w:val="90"/>
          <w:jc w:val="center"/>
        </w:trPr>
        <w:tc>
          <w:tcPr>
            <w:tcW w:w="1665" w:type="pct"/>
            <w:shd w:val="clear" w:color="auto" w:fill="auto"/>
          </w:tcPr>
          <w:p w:rsidR="001D4EFA" w:rsidRPr="00915C7C" w:rsidRDefault="001D4EFA" w:rsidP="00915C7C">
            <w:pPr>
              <w:spacing w:after="0" w:line="360" w:lineRule="auto"/>
              <w:rPr>
                <w:rStyle w:val="apple-converted-space"/>
              </w:rPr>
            </w:pPr>
            <w:bookmarkStart w:id="20" w:name="OLE_LINK33"/>
            <w:r w:rsidRPr="00915C7C">
              <w:rPr>
                <w:rStyle w:val="apple-converted-space"/>
              </w:rPr>
              <w:t>α</w:t>
            </w:r>
            <w:bookmarkEnd w:id="20"/>
            <w:r w:rsidRPr="00915C7C">
              <w:rPr>
                <w:rStyle w:val="apple-converted-space"/>
              </w:rPr>
              <w:t>1-glicoprot. ácida (mg.dL</w:t>
            </w:r>
            <w:r w:rsidRPr="00915C7C">
              <w:rPr>
                <w:rStyle w:val="apple-converted-space"/>
                <w:vertAlign w:val="superscript"/>
              </w:rPr>
              <w:t>-1</w:t>
            </w:r>
            <w:r w:rsidRPr="00915C7C">
              <w:rPr>
                <w:rStyle w:val="apple-converted-space"/>
              </w:rPr>
              <w:t>)</w:t>
            </w:r>
          </w:p>
        </w:tc>
        <w:tc>
          <w:tcPr>
            <w:tcW w:w="1164" w:type="pct"/>
            <w:vAlign w:val="center"/>
          </w:tcPr>
          <w:p w:rsidR="001D4EFA" w:rsidRPr="00915C7C" w:rsidRDefault="001D4EFA" w:rsidP="00915C7C">
            <w:pPr>
              <w:spacing w:after="0" w:line="360" w:lineRule="auto"/>
              <w:jc w:val="center"/>
              <w:rPr>
                <w:rStyle w:val="apple-converted-space"/>
              </w:rPr>
            </w:pPr>
            <w:r w:rsidRPr="00915C7C">
              <w:rPr>
                <w:rStyle w:val="apple-converted-space"/>
              </w:rPr>
              <w:t>5,00 (0,10%)</w:t>
            </w:r>
          </w:p>
        </w:tc>
        <w:tc>
          <w:tcPr>
            <w:tcW w:w="1164" w:type="pct"/>
            <w:shd w:val="clear" w:color="auto" w:fill="auto"/>
            <w:vAlign w:val="center"/>
          </w:tcPr>
          <w:p w:rsidR="001D4EFA" w:rsidRPr="00915C7C" w:rsidRDefault="001D4EFA" w:rsidP="00915C7C">
            <w:pPr>
              <w:spacing w:after="0" w:line="360" w:lineRule="auto"/>
              <w:jc w:val="center"/>
              <w:rPr>
                <w:rStyle w:val="apple-converted-space"/>
              </w:rPr>
            </w:pPr>
            <w:bookmarkStart w:id="21" w:name="OLE_LINK26"/>
            <w:r w:rsidRPr="00915C7C">
              <w:rPr>
                <w:rStyle w:val="apple-converted-space"/>
              </w:rPr>
              <w:t xml:space="preserve">5,31 </w:t>
            </w:r>
            <w:bookmarkEnd w:id="21"/>
            <w:r w:rsidRPr="00915C7C">
              <w:rPr>
                <w:rStyle w:val="apple-converted-space"/>
              </w:rPr>
              <w:t>(0,11%)</w:t>
            </w:r>
          </w:p>
        </w:tc>
        <w:tc>
          <w:tcPr>
            <w:tcW w:w="485"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0,43</w:t>
            </w:r>
          </w:p>
        </w:tc>
        <w:tc>
          <w:tcPr>
            <w:tcW w:w="522" w:type="pct"/>
            <w:shd w:val="clear" w:color="auto" w:fill="auto"/>
            <w:vAlign w:val="center"/>
          </w:tcPr>
          <w:p w:rsidR="001D4EFA" w:rsidRPr="00915C7C" w:rsidRDefault="001D4EFA" w:rsidP="00915C7C">
            <w:pPr>
              <w:spacing w:after="0" w:line="360" w:lineRule="auto"/>
              <w:jc w:val="center"/>
              <w:rPr>
                <w:rStyle w:val="apple-converted-space"/>
              </w:rPr>
            </w:pPr>
            <w:r w:rsidRPr="00915C7C">
              <w:rPr>
                <w:rStyle w:val="apple-converted-space"/>
              </w:rPr>
              <w:t>0,723</w:t>
            </w:r>
          </w:p>
        </w:tc>
      </w:tr>
    </w:tbl>
    <w:p w:rsidR="00B63948" w:rsidRPr="00BF12C5" w:rsidRDefault="00B63948" w:rsidP="00915C7C">
      <w:pPr>
        <w:pStyle w:val="PargrafodaLista"/>
        <w:numPr>
          <w:ilvl w:val="0"/>
          <w:numId w:val="1"/>
        </w:numPr>
        <w:autoSpaceDE w:val="0"/>
        <w:autoSpaceDN w:val="0"/>
        <w:adjustRightInd w:val="0"/>
        <w:spacing w:after="0" w:line="360" w:lineRule="auto"/>
        <w:jc w:val="both"/>
        <w:rPr>
          <w:color w:val="000000"/>
          <w:sz w:val="20"/>
          <w:szCs w:val="20"/>
        </w:rPr>
      </w:pPr>
      <w:r w:rsidRPr="00BF12C5">
        <w:rPr>
          <w:sz w:val="20"/>
          <w:szCs w:val="20"/>
        </w:rPr>
        <w:t>Letras distintas, na linha, indicam diferença entre as médias pelo teste F.</w:t>
      </w:r>
    </w:p>
    <w:p w:rsidR="00B63948" w:rsidRPr="00BF12C5" w:rsidRDefault="00B63948" w:rsidP="00915C7C">
      <w:pPr>
        <w:pStyle w:val="PargrafodaLista"/>
        <w:numPr>
          <w:ilvl w:val="0"/>
          <w:numId w:val="1"/>
        </w:numPr>
        <w:autoSpaceDE w:val="0"/>
        <w:autoSpaceDN w:val="0"/>
        <w:adjustRightInd w:val="0"/>
        <w:spacing w:after="0" w:line="360" w:lineRule="auto"/>
        <w:jc w:val="both"/>
        <w:rPr>
          <w:color w:val="000000"/>
          <w:sz w:val="20"/>
          <w:szCs w:val="20"/>
        </w:rPr>
      </w:pPr>
      <w:r w:rsidRPr="00BF12C5">
        <w:rPr>
          <w:color w:val="000000"/>
          <w:sz w:val="20"/>
          <w:szCs w:val="20"/>
        </w:rPr>
        <w:t>Erro padrão da média.</w:t>
      </w:r>
    </w:p>
    <w:p w:rsidR="00B63948" w:rsidRPr="00BF12C5" w:rsidRDefault="00B63948" w:rsidP="00915C7C">
      <w:pPr>
        <w:pStyle w:val="PargrafodaLista"/>
        <w:numPr>
          <w:ilvl w:val="0"/>
          <w:numId w:val="1"/>
        </w:numPr>
        <w:autoSpaceDE w:val="0"/>
        <w:autoSpaceDN w:val="0"/>
        <w:adjustRightInd w:val="0"/>
        <w:spacing w:after="0" w:line="360" w:lineRule="auto"/>
        <w:jc w:val="both"/>
        <w:rPr>
          <w:color w:val="000000"/>
          <w:sz w:val="20"/>
          <w:szCs w:val="20"/>
        </w:rPr>
      </w:pPr>
      <w:r w:rsidRPr="00BF12C5">
        <w:rPr>
          <w:color w:val="000000"/>
          <w:sz w:val="20"/>
          <w:szCs w:val="20"/>
        </w:rPr>
        <w:t xml:space="preserve">Valores entre parênteses indicam percentagem em relação ao valor de Proteínas Totais. </w:t>
      </w:r>
    </w:p>
    <w:p w:rsidR="000A7CC2" w:rsidRPr="00915C7C" w:rsidRDefault="000A7CC2" w:rsidP="00915C7C">
      <w:pPr>
        <w:pStyle w:val="PargrafodaLista"/>
        <w:autoSpaceDE w:val="0"/>
        <w:autoSpaceDN w:val="0"/>
        <w:adjustRightInd w:val="0"/>
        <w:spacing w:after="0" w:line="360" w:lineRule="auto"/>
        <w:jc w:val="both"/>
        <w:rPr>
          <w:color w:val="000000"/>
        </w:rPr>
      </w:pPr>
    </w:p>
    <w:p w:rsidR="00F6013C" w:rsidRPr="00915C7C" w:rsidRDefault="0052254C" w:rsidP="00915C7C">
      <w:pPr>
        <w:autoSpaceDE w:val="0"/>
        <w:autoSpaceDN w:val="0"/>
        <w:adjustRightInd w:val="0"/>
        <w:spacing w:after="0" w:line="360" w:lineRule="auto"/>
        <w:ind w:firstLine="567"/>
        <w:jc w:val="both"/>
        <w:rPr>
          <w:bCs/>
          <w:kern w:val="28"/>
        </w:rPr>
      </w:pPr>
      <w:r w:rsidRPr="00915C7C">
        <w:rPr>
          <w:bCs/>
          <w:kern w:val="28"/>
        </w:rPr>
        <w:object w:dxaOrig="6350" w:dyaOrig="4649">
          <v:shape id="_x0000_i1032" type="#_x0000_t75" style="width:207pt;height:148.5pt" o:ole="">
            <v:imagedata r:id="rId26" o:title=""/>
          </v:shape>
          <o:OLEObject Type="Embed" ProgID="Prism5.Document" ShapeID="_x0000_i1032" DrawAspect="Content" ObjectID="_1662623486" r:id="rId27"/>
        </w:object>
      </w:r>
      <w:r w:rsidR="00BF12C5" w:rsidRPr="00915C7C">
        <w:rPr>
          <w:bCs/>
          <w:kern w:val="28"/>
        </w:rPr>
        <w:object w:dxaOrig="6350" w:dyaOrig="4592">
          <v:shape id="_x0000_i1041" type="#_x0000_t75" style="width:210pt;height:151.5pt" o:ole="">
            <v:imagedata r:id="rId28" o:title=""/>
          </v:shape>
          <o:OLEObject Type="Embed" ProgID="Prism5.Document" ShapeID="_x0000_i1041" DrawAspect="Content" ObjectID="_1662623487" r:id="rId29"/>
        </w:object>
      </w:r>
    </w:p>
    <w:p w:rsidR="00F6013C" w:rsidRPr="00915C7C" w:rsidRDefault="0052254C" w:rsidP="00915C7C">
      <w:pPr>
        <w:autoSpaceDE w:val="0"/>
        <w:autoSpaceDN w:val="0"/>
        <w:adjustRightInd w:val="0"/>
        <w:spacing w:after="0" w:line="360" w:lineRule="auto"/>
        <w:ind w:firstLine="567"/>
        <w:jc w:val="both"/>
        <w:rPr>
          <w:bCs/>
          <w:kern w:val="28"/>
        </w:rPr>
      </w:pPr>
      <w:r w:rsidRPr="00915C7C">
        <w:rPr>
          <w:bCs/>
          <w:kern w:val="28"/>
        </w:rPr>
        <w:object w:dxaOrig="6350" w:dyaOrig="4592">
          <v:shape id="_x0000_i1033" type="#_x0000_t75" style="width:213pt;height:153pt" o:ole="">
            <v:imagedata r:id="rId30" o:title=""/>
          </v:shape>
          <o:OLEObject Type="Embed" ProgID="Prism5.Document" ShapeID="_x0000_i1033" DrawAspect="Content" ObjectID="_1662623488" r:id="rId31"/>
        </w:object>
      </w:r>
      <w:r w:rsidRPr="00915C7C">
        <w:rPr>
          <w:bCs/>
          <w:kern w:val="28"/>
        </w:rPr>
        <w:object w:dxaOrig="6123" w:dyaOrig="4592">
          <v:shape id="_x0000_i1034" type="#_x0000_t75" style="width:211.5pt;height:159pt" o:ole="">
            <v:imagedata r:id="rId32" o:title=""/>
          </v:shape>
          <o:OLEObject Type="Embed" ProgID="Prism5.Document" ShapeID="_x0000_i1034" DrawAspect="Content" ObjectID="_1662623489" r:id="rId33"/>
        </w:object>
      </w:r>
    </w:p>
    <w:p w:rsidR="005F354F" w:rsidRPr="00915C7C" w:rsidRDefault="005F354F" w:rsidP="00677B8A">
      <w:pPr>
        <w:autoSpaceDE w:val="0"/>
        <w:autoSpaceDN w:val="0"/>
        <w:adjustRightInd w:val="0"/>
        <w:spacing w:after="0" w:line="360" w:lineRule="auto"/>
        <w:jc w:val="both"/>
        <w:rPr>
          <w:bCs/>
          <w:kern w:val="28"/>
        </w:rPr>
      </w:pPr>
      <w:r w:rsidRPr="00915C7C">
        <w:rPr>
          <w:b/>
          <w:kern w:val="28"/>
        </w:rPr>
        <w:t xml:space="preserve">Figura 4. </w:t>
      </w:r>
      <w:r w:rsidRPr="00915C7C">
        <w:rPr>
          <w:bCs/>
          <w:kern w:val="28"/>
        </w:rPr>
        <w:t xml:space="preserve">Proteínas totais, </w:t>
      </w:r>
      <w:r w:rsidRPr="00915C7C">
        <w:rPr>
          <w:bCs/>
          <w:i/>
          <w:iCs/>
          <w:kern w:val="28"/>
        </w:rPr>
        <w:t>mg.dL</w:t>
      </w:r>
      <w:r w:rsidRPr="00915C7C">
        <w:rPr>
          <w:bCs/>
          <w:i/>
          <w:iCs/>
          <w:kern w:val="28"/>
          <w:vertAlign w:val="superscript"/>
        </w:rPr>
        <w:t>-1</w:t>
      </w:r>
      <w:r w:rsidRPr="00915C7C">
        <w:rPr>
          <w:bCs/>
          <w:kern w:val="28"/>
        </w:rPr>
        <w:t xml:space="preserve"> (A); Albumina, </w:t>
      </w:r>
      <w:r w:rsidRPr="00915C7C">
        <w:rPr>
          <w:bCs/>
          <w:i/>
          <w:iCs/>
          <w:kern w:val="28"/>
        </w:rPr>
        <w:t>mg.dL</w:t>
      </w:r>
      <w:r w:rsidRPr="00915C7C">
        <w:rPr>
          <w:bCs/>
          <w:i/>
          <w:iCs/>
          <w:kern w:val="28"/>
          <w:vertAlign w:val="superscript"/>
        </w:rPr>
        <w:t>-1</w:t>
      </w:r>
      <w:r w:rsidRPr="00915C7C">
        <w:rPr>
          <w:bCs/>
          <w:kern w:val="28"/>
        </w:rPr>
        <w:t xml:space="preserve"> (B); Globulinas, </w:t>
      </w:r>
      <w:r w:rsidRPr="00915C7C">
        <w:rPr>
          <w:bCs/>
          <w:i/>
          <w:iCs/>
          <w:kern w:val="28"/>
        </w:rPr>
        <w:t>mg.dL</w:t>
      </w:r>
      <w:r w:rsidRPr="00915C7C">
        <w:rPr>
          <w:bCs/>
          <w:i/>
          <w:iCs/>
          <w:kern w:val="28"/>
          <w:vertAlign w:val="superscript"/>
        </w:rPr>
        <w:t>-1</w:t>
      </w:r>
      <w:r w:rsidRPr="00915C7C">
        <w:rPr>
          <w:bCs/>
          <w:kern w:val="28"/>
        </w:rPr>
        <w:t xml:space="preserve"> (C) e relação Albumina:Globulinas (D) no plasma de fêmeas suínas em fase inicial, com artrite induzida por adjuvante na fase de lactação.</w:t>
      </w:r>
    </w:p>
    <w:p w:rsidR="005F354F" w:rsidRPr="00915C7C" w:rsidRDefault="005F354F" w:rsidP="00915C7C">
      <w:pPr>
        <w:autoSpaceDE w:val="0"/>
        <w:autoSpaceDN w:val="0"/>
        <w:adjustRightInd w:val="0"/>
        <w:spacing w:after="0" w:line="360" w:lineRule="auto"/>
        <w:ind w:firstLine="567"/>
        <w:jc w:val="both"/>
        <w:rPr>
          <w:bCs/>
          <w:kern w:val="28"/>
        </w:rPr>
      </w:pPr>
    </w:p>
    <w:p w:rsidR="00B63948" w:rsidRPr="00915C7C" w:rsidRDefault="00B63948" w:rsidP="00915C7C">
      <w:pPr>
        <w:autoSpaceDE w:val="0"/>
        <w:autoSpaceDN w:val="0"/>
        <w:adjustRightInd w:val="0"/>
        <w:spacing w:after="0" w:line="360" w:lineRule="auto"/>
        <w:ind w:firstLine="567"/>
        <w:jc w:val="both"/>
      </w:pPr>
      <w:r w:rsidRPr="00915C7C">
        <w:t xml:space="preserve">Como no plasma sanguíneo grande parte da sua constituição proteica são albuminas e globulinas, a partir da análise de proteína total, subtraindo a concentração de albumina, obtém-se uma concentração estimada de globulina, como realizado no trabalho de Comar </w:t>
      </w:r>
      <w:r w:rsidRPr="00915C7C">
        <w:rPr>
          <w:i/>
          <w:iCs/>
        </w:rPr>
        <w:t>et al</w:t>
      </w:r>
      <w:r w:rsidRPr="00915C7C">
        <w:t>. (2013). A partir daí, é possível obter a relação albumina:globulina. A diferença observada em proteínas totais provavelmente é explicada pela redução drástica de albumina plasmática em comparação a um aumento de menor proporção das globulinas.</w:t>
      </w:r>
    </w:p>
    <w:p w:rsidR="00B63948" w:rsidRPr="00915C7C" w:rsidRDefault="00B63948" w:rsidP="00915C7C">
      <w:pPr>
        <w:autoSpaceDE w:val="0"/>
        <w:autoSpaceDN w:val="0"/>
        <w:adjustRightInd w:val="0"/>
        <w:spacing w:after="0" w:line="360" w:lineRule="auto"/>
        <w:ind w:firstLine="567"/>
        <w:jc w:val="both"/>
      </w:pPr>
      <w:r w:rsidRPr="00915C7C">
        <w:t xml:space="preserve">Foram encontrados resultados semelhantes por Comar </w:t>
      </w:r>
      <w:r w:rsidRPr="00915C7C">
        <w:rPr>
          <w:i/>
          <w:iCs/>
        </w:rPr>
        <w:t>et al</w:t>
      </w:r>
      <w:r w:rsidRPr="00915C7C">
        <w:t>. (2013), para concentração de albumina, globulina e sua relação no plasma de ratos. Sabe-se que essas proteínas estão classificadas como proteínas de fase aguda, ou seja, são proteínas que atuam na resposta inflamatória (JAIN; GAUTAM; NASEEM, 2011).</w:t>
      </w:r>
    </w:p>
    <w:p w:rsidR="00B63948" w:rsidRPr="00915C7C" w:rsidRDefault="00B63948" w:rsidP="00915C7C">
      <w:pPr>
        <w:autoSpaceDE w:val="0"/>
        <w:autoSpaceDN w:val="0"/>
        <w:adjustRightInd w:val="0"/>
        <w:spacing w:after="0" w:line="360" w:lineRule="auto"/>
        <w:ind w:firstLine="567"/>
        <w:jc w:val="both"/>
      </w:pPr>
      <w:r w:rsidRPr="00915C7C">
        <w:t xml:space="preserve">Albumina e globulina estão diretamente relacionadas com parâmetros para avaliação de inflamações crônicas. A albumina sérica contém Cisteína-34 (Cys34), um tipo de cisteína que serve de fonte de tióis livres no plasma humano (70-80%), e por conta dessa característica age reduzindo radicais livres. Além disso, possui resíduos de metionina (Met87, Met123, Met298, </w:t>
      </w:r>
      <w:r w:rsidRPr="00915C7C">
        <w:lastRenderedPageBreak/>
        <w:t xml:space="preserve">Met329, Met 446 e Met548) que têm sido estudados por realizarem atividade antioxidante (BRACHT </w:t>
      </w:r>
      <w:r w:rsidRPr="00915C7C">
        <w:rPr>
          <w:i/>
          <w:iCs/>
        </w:rPr>
        <w:t>et al</w:t>
      </w:r>
      <w:r w:rsidRPr="00915C7C">
        <w:t xml:space="preserve">., 2016; FANALI </w:t>
      </w:r>
      <w:r w:rsidRPr="00915C7C">
        <w:rPr>
          <w:i/>
          <w:iCs/>
        </w:rPr>
        <w:t>et al</w:t>
      </w:r>
      <w:r w:rsidRPr="00915C7C">
        <w:t>., 2012).</w:t>
      </w:r>
    </w:p>
    <w:p w:rsidR="00C30935" w:rsidRDefault="00B63948" w:rsidP="00915C7C">
      <w:pPr>
        <w:autoSpaceDE w:val="0"/>
        <w:autoSpaceDN w:val="0"/>
        <w:adjustRightInd w:val="0"/>
        <w:spacing w:after="0" w:line="360" w:lineRule="auto"/>
        <w:ind w:firstLine="567"/>
        <w:jc w:val="both"/>
      </w:pPr>
      <w:r w:rsidRPr="00915C7C">
        <w:t xml:space="preserve">Portanto, devido ao fato </w:t>
      </w:r>
      <w:r w:rsidR="00DA0D3D" w:rsidRPr="00915C7C">
        <w:t>de a</w:t>
      </w:r>
      <w:r w:rsidRPr="00915C7C">
        <w:t xml:space="preserve"> albumina possuir cisteína, e esta fazer parte dos grupos tióis, ela realiza um papel de defesa contra radicais livres, principalmente no sangue, onde está presente em maior quantidade, e é consumida no processo, explicando os menores valores obtidos para o Protocolo Positivo</w:t>
      </w:r>
      <w:r w:rsidR="00D54E7B" w:rsidRPr="00915C7C">
        <w:t>, a</w:t>
      </w:r>
      <w:r w:rsidRPr="00915C7C">
        <w:t xml:space="preserve">lém disso, há uma ligação da albumina que é uma proteína de fase aguda de resposta negativa, ou seja, na grande maioria das espécies, quando o sistema imunológico estiver ativo, a concentração de albumina no sangue tende a diminuir devido à redução da sua síntese pelo fígado (CRAY; ZAIAS; ALTMAN, 2009). </w:t>
      </w:r>
    </w:p>
    <w:p w:rsidR="00B63948" w:rsidRDefault="00B63948" w:rsidP="00C30935">
      <w:pPr>
        <w:autoSpaceDE w:val="0"/>
        <w:autoSpaceDN w:val="0"/>
        <w:adjustRightInd w:val="0"/>
        <w:spacing w:after="0" w:line="360" w:lineRule="auto"/>
        <w:ind w:firstLine="567"/>
        <w:jc w:val="both"/>
        <w:rPr>
          <w:rFonts w:eastAsia="SimSun"/>
        </w:rPr>
      </w:pPr>
      <w:r w:rsidRPr="00915C7C">
        <w:t xml:space="preserve">Quanto às globulinas, o aumento envolvido pode ser explicado pela indução da produção de proteínas positivas de fase aguda no fígado durante a inflamação (BRACH </w:t>
      </w:r>
      <w:r w:rsidRPr="00915C7C">
        <w:rPr>
          <w:i/>
          <w:iCs/>
        </w:rPr>
        <w:t>et al</w:t>
      </w:r>
      <w:r w:rsidRPr="00915C7C">
        <w:t>., 2016).</w:t>
      </w:r>
      <w:r w:rsidR="00C30935">
        <w:t xml:space="preserve"> </w:t>
      </w:r>
      <w:r w:rsidRPr="00915C7C">
        <w:t xml:space="preserve">Para as demais frações proteicas séricas (IgA, IgG, transferrina, ceruloplasmina, haptoglobina, e </w:t>
      </w:r>
      <w:r w:rsidRPr="00915C7C">
        <w:rPr>
          <w:rFonts w:eastAsia="SimSun"/>
        </w:rPr>
        <w:t>α1-glicoproteína ácida), denominadas proteínas de fase aguda, não houve diferença entre os protocolos avaliados (P&gt;0,05), conforme demonstrado na Figura 5</w:t>
      </w:r>
      <w:r w:rsidR="00C30935">
        <w:rPr>
          <w:rFonts w:eastAsia="SimSun"/>
        </w:rPr>
        <w:t>. D</w:t>
      </w:r>
      <w:r w:rsidRPr="00915C7C">
        <w:rPr>
          <w:color w:val="0D0D0D"/>
        </w:rPr>
        <w:t>e modo similar, ao avaliarem as proteínas de fase aguda em ratos com monoartrite</w:t>
      </w:r>
      <w:r w:rsidRPr="00915C7C">
        <w:rPr>
          <w:rFonts w:eastAsia="SimSun"/>
        </w:rPr>
        <w:t xml:space="preserve"> e poliatrite, Bracht </w:t>
      </w:r>
      <w:r w:rsidRPr="00915C7C">
        <w:rPr>
          <w:rFonts w:eastAsia="SimSun"/>
          <w:i/>
          <w:iCs/>
        </w:rPr>
        <w:t>et al</w:t>
      </w:r>
      <w:r w:rsidRPr="00915C7C">
        <w:rPr>
          <w:rFonts w:eastAsia="SimSun"/>
        </w:rPr>
        <w:t xml:space="preserve">. (2016) não obtiveram diferença nos resultados para animais com monoartrite em comparação ao grupo controle, contudo os animais poliartríticos apresentaram diferenças significativas, provavelmente por se tratarem de dois tipos de infecção. Enquanto a monoartrite é uma infecção branda, a poliartrite é considera uma infecção agressiva, levando à ativação do sistema imunológico. </w:t>
      </w:r>
    </w:p>
    <w:p w:rsidR="005D7AB5" w:rsidRPr="00915C7C" w:rsidRDefault="00C30935" w:rsidP="00C30935">
      <w:pPr>
        <w:pStyle w:val="Recuodecorpodetexto"/>
        <w:spacing w:after="0" w:line="360" w:lineRule="auto"/>
        <w:ind w:right="-171" w:firstLine="567"/>
        <w:jc w:val="both"/>
        <w:rPr>
          <w:color w:val="0D0D0D"/>
          <w:lang w:val="pt-BR"/>
        </w:rPr>
      </w:pPr>
      <w:r w:rsidRPr="00915C7C">
        <w:rPr>
          <w:rFonts w:eastAsia="SimSun"/>
          <w:lang w:val="pt-BR"/>
        </w:rPr>
        <w:t>No presente estudo, como todos os animais induzidos apresentaram o quadro de monoartrite, é provável que os resultados das proteínas de fase aguda não tenham diferido (P&gt;0,05) em função da manifestação de uma infecção branda.</w:t>
      </w:r>
    </w:p>
    <w:p w:rsidR="00E54AFA" w:rsidRPr="00915C7C" w:rsidRDefault="0052254C" w:rsidP="00915C7C">
      <w:pPr>
        <w:pStyle w:val="Recuodecorpodetexto"/>
        <w:spacing w:after="0" w:line="360" w:lineRule="auto"/>
        <w:ind w:right="-171"/>
        <w:jc w:val="center"/>
        <w:rPr>
          <w:b/>
          <w:color w:val="000000"/>
          <w:lang w:val="pt-BR"/>
        </w:rPr>
      </w:pPr>
      <w:r w:rsidRPr="00915C7C">
        <w:rPr>
          <w:b/>
          <w:color w:val="000000"/>
          <w:lang w:val="pt-BR"/>
        </w:rPr>
        <w:object w:dxaOrig="6066" w:dyaOrig="4535">
          <v:shape id="_x0000_i1035" type="#_x0000_t75" style="width:225pt;height:168pt" o:ole="">
            <v:imagedata r:id="rId34" o:title=""/>
          </v:shape>
          <o:OLEObject Type="Embed" ProgID="Prism5.Document" ShapeID="_x0000_i1035" DrawAspect="Content" ObjectID="_1662623490" r:id="rId35"/>
        </w:object>
      </w:r>
      <w:r w:rsidRPr="00915C7C">
        <w:rPr>
          <w:b/>
          <w:color w:val="000000"/>
          <w:lang w:val="pt-BR"/>
        </w:rPr>
        <w:object w:dxaOrig="6066" w:dyaOrig="4535">
          <v:shape id="_x0000_i1036" type="#_x0000_t75" style="width:226.5pt;height:169.5pt" o:ole="">
            <v:imagedata r:id="rId36" o:title=""/>
          </v:shape>
          <o:OLEObject Type="Embed" ProgID="Prism5.Document" ShapeID="_x0000_i1036" DrawAspect="Content" ObjectID="_1662623491" r:id="rId37"/>
        </w:object>
      </w:r>
      <w:r w:rsidRPr="00915C7C">
        <w:rPr>
          <w:b/>
          <w:color w:val="000000"/>
          <w:lang w:val="pt-BR"/>
        </w:rPr>
        <w:object w:dxaOrig="6066" w:dyaOrig="4535">
          <v:shape id="_x0000_i1037" type="#_x0000_t75" style="width:232.5pt;height:174pt" o:ole="">
            <v:imagedata r:id="rId38" o:title=""/>
          </v:shape>
          <o:OLEObject Type="Embed" ProgID="Prism5.Document" ShapeID="_x0000_i1037" DrawAspect="Content" ObjectID="_1662623492" r:id="rId39"/>
        </w:object>
      </w:r>
      <w:r w:rsidRPr="00915C7C">
        <w:rPr>
          <w:b/>
          <w:color w:val="000000"/>
          <w:lang w:val="pt-BR"/>
        </w:rPr>
        <w:object w:dxaOrig="5953" w:dyaOrig="4535">
          <v:shape id="_x0000_i1038" type="#_x0000_t75" style="width:220.5pt;height:168pt" o:ole="">
            <v:imagedata r:id="rId40" o:title=""/>
          </v:shape>
          <o:OLEObject Type="Embed" ProgID="Prism5.Document" ShapeID="_x0000_i1038" DrawAspect="Content" ObjectID="_1662623493" r:id="rId41"/>
        </w:object>
      </w:r>
      <w:r w:rsidRPr="00915C7C">
        <w:rPr>
          <w:b/>
          <w:color w:val="000000"/>
          <w:lang w:val="pt-BR"/>
        </w:rPr>
        <w:object w:dxaOrig="5953" w:dyaOrig="4535">
          <v:shape id="_x0000_i1039" type="#_x0000_t75" style="width:219pt;height:168pt" o:ole="">
            <v:imagedata r:id="rId42" o:title=""/>
          </v:shape>
          <o:OLEObject Type="Embed" ProgID="Prism5.Document" ShapeID="_x0000_i1039" DrawAspect="Content" ObjectID="_1662623494" r:id="rId43"/>
        </w:object>
      </w:r>
      <w:r w:rsidRPr="00915C7C">
        <w:rPr>
          <w:b/>
          <w:color w:val="000000"/>
          <w:lang w:val="pt-BR"/>
        </w:rPr>
        <w:object w:dxaOrig="5783" w:dyaOrig="4536">
          <v:shape id="_x0000_i1040" type="#_x0000_t75" style="width:219pt;height:171pt" o:ole="">
            <v:imagedata r:id="rId44" o:title=""/>
          </v:shape>
          <o:OLEObject Type="Embed" ProgID="Prism5.Document" ShapeID="_x0000_i1040" DrawAspect="Content" ObjectID="_1662623495" r:id="rId45"/>
        </w:object>
      </w:r>
    </w:p>
    <w:p w:rsidR="008A6309" w:rsidRPr="00915C7C" w:rsidRDefault="00AB7D6D" w:rsidP="00677B8A">
      <w:pPr>
        <w:pStyle w:val="Recuodecorpodetexto"/>
        <w:tabs>
          <w:tab w:val="left" w:pos="142"/>
        </w:tabs>
        <w:spacing w:after="0" w:line="360" w:lineRule="auto"/>
        <w:ind w:right="-171"/>
        <w:jc w:val="both"/>
        <w:rPr>
          <w:color w:val="0D0D0D"/>
          <w:lang w:val="pt-BR"/>
        </w:rPr>
      </w:pPr>
      <w:r w:rsidRPr="00915C7C">
        <w:rPr>
          <w:b/>
          <w:color w:val="000000"/>
          <w:lang w:val="pt-BR"/>
        </w:rPr>
        <w:t xml:space="preserve">Figura </w:t>
      </w:r>
      <w:r w:rsidR="00925BE9" w:rsidRPr="00915C7C">
        <w:rPr>
          <w:b/>
          <w:color w:val="000000"/>
          <w:lang w:val="pt-BR"/>
        </w:rPr>
        <w:t>5</w:t>
      </w:r>
      <w:r w:rsidR="008A6309" w:rsidRPr="00915C7C">
        <w:rPr>
          <w:b/>
          <w:color w:val="000000"/>
          <w:lang w:val="pt-BR"/>
        </w:rPr>
        <w:t>.</w:t>
      </w:r>
      <w:r w:rsidR="008A6309" w:rsidRPr="00915C7C">
        <w:rPr>
          <w:color w:val="000000"/>
          <w:lang w:val="pt-BR"/>
        </w:rPr>
        <w:t xml:space="preserve"> IgA</w:t>
      </w:r>
      <w:r w:rsidR="008A6309" w:rsidRPr="00915C7C">
        <w:rPr>
          <w:color w:val="000000"/>
        </w:rPr>
        <w:t>,</w:t>
      </w:r>
      <w:r w:rsidR="00A71CEE" w:rsidRPr="00915C7C">
        <w:rPr>
          <w:i/>
          <w:lang w:val="pt-BR"/>
        </w:rPr>
        <w:t>mg</w:t>
      </w:r>
      <w:r w:rsidR="008A6309" w:rsidRPr="00915C7C">
        <w:rPr>
          <w:i/>
        </w:rPr>
        <w:t>.</w:t>
      </w:r>
      <w:r w:rsidR="00A71CEE" w:rsidRPr="00915C7C">
        <w:rPr>
          <w:i/>
          <w:lang w:val="pt-BR"/>
        </w:rPr>
        <w:t>dL</w:t>
      </w:r>
      <w:r w:rsidR="008A6309" w:rsidRPr="00915C7C">
        <w:rPr>
          <w:i/>
          <w:vertAlign w:val="superscript"/>
        </w:rPr>
        <w:t>-1</w:t>
      </w:r>
      <w:r w:rsidR="008A6309" w:rsidRPr="00915C7C">
        <w:t xml:space="preserve"> (A); </w:t>
      </w:r>
      <w:r w:rsidR="008A6309" w:rsidRPr="00915C7C">
        <w:rPr>
          <w:lang w:val="pt-BR"/>
        </w:rPr>
        <w:t>IgG</w:t>
      </w:r>
      <w:r w:rsidR="008A6309" w:rsidRPr="00915C7C">
        <w:t xml:space="preserve">, </w:t>
      </w:r>
      <w:r w:rsidR="00A71CEE" w:rsidRPr="00915C7C">
        <w:rPr>
          <w:i/>
          <w:lang w:val="pt-BR"/>
        </w:rPr>
        <w:t>mg</w:t>
      </w:r>
      <w:r w:rsidR="00A71CEE" w:rsidRPr="00915C7C">
        <w:rPr>
          <w:i/>
        </w:rPr>
        <w:t>.</w:t>
      </w:r>
      <w:r w:rsidR="00A71CEE" w:rsidRPr="00915C7C">
        <w:rPr>
          <w:i/>
          <w:lang w:val="pt-BR"/>
        </w:rPr>
        <w:t>dL</w:t>
      </w:r>
      <w:r w:rsidR="008A6309" w:rsidRPr="00915C7C">
        <w:rPr>
          <w:i/>
          <w:vertAlign w:val="superscript"/>
        </w:rPr>
        <w:t>-1</w:t>
      </w:r>
      <w:r w:rsidR="008A6309" w:rsidRPr="00915C7C">
        <w:t xml:space="preserve"> (B</w:t>
      </w:r>
      <w:r w:rsidR="008A6309" w:rsidRPr="00915C7C">
        <w:rPr>
          <w:lang w:val="pt-BR"/>
        </w:rPr>
        <w:t>); Transferrina</w:t>
      </w:r>
      <w:r w:rsidR="008A6309" w:rsidRPr="00915C7C">
        <w:t xml:space="preserve">, </w:t>
      </w:r>
      <w:r w:rsidR="008A6309" w:rsidRPr="00915C7C">
        <w:rPr>
          <w:i/>
        </w:rPr>
        <w:t>mg</w:t>
      </w:r>
      <w:r w:rsidR="00A71CEE" w:rsidRPr="00915C7C">
        <w:rPr>
          <w:i/>
          <w:lang w:val="pt-BR"/>
        </w:rPr>
        <w:t>.dL</w:t>
      </w:r>
      <w:r w:rsidR="008A6309" w:rsidRPr="00915C7C">
        <w:rPr>
          <w:i/>
          <w:vertAlign w:val="superscript"/>
        </w:rPr>
        <w:t>-1</w:t>
      </w:r>
      <w:r w:rsidR="008A6309" w:rsidRPr="00915C7C">
        <w:t xml:space="preserve"> (C); </w:t>
      </w:r>
      <w:r w:rsidR="008A6309" w:rsidRPr="00915C7C">
        <w:rPr>
          <w:lang w:val="pt-BR"/>
        </w:rPr>
        <w:t>Ceruloplasmina (D)</w:t>
      </w:r>
      <w:r w:rsidR="00A71CEE" w:rsidRPr="00915C7C">
        <w:rPr>
          <w:lang w:val="pt-BR"/>
        </w:rPr>
        <w:t xml:space="preserve">, </w:t>
      </w:r>
      <w:r w:rsidR="00A71CEE" w:rsidRPr="00915C7C">
        <w:rPr>
          <w:i/>
          <w:lang w:val="pt-BR"/>
        </w:rPr>
        <w:t>mg.dL</w:t>
      </w:r>
      <w:r w:rsidR="00A71CEE" w:rsidRPr="00915C7C">
        <w:rPr>
          <w:i/>
          <w:vertAlign w:val="superscript"/>
          <w:lang w:val="pt-BR"/>
        </w:rPr>
        <w:t>-1</w:t>
      </w:r>
      <w:r w:rsidR="008A6309" w:rsidRPr="00915C7C">
        <w:rPr>
          <w:lang w:val="pt-BR"/>
        </w:rPr>
        <w:t xml:space="preserve">; </w:t>
      </w:r>
      <w:r w:rsidR="00A71CEE" w:rsidRPr="00915C7C">
        <w:rPr>
          <w:lang w:val="pt-BR"/>
        </w:rPr>
        <w:t xml:space="preserve">Haptoglobina (E), </w:t>
      </w:r>
      <w:r w:rsidR="00A71CEE" w:rsidRPr="00915C7C">
        <w:rPr>
          <w:i/>
          <w:lang w:val="pt-BR"/>
        </w:rPr>
        <w:t>mg.dL</w:t>
      </w:r>
      <w:r w:rsidR="00A71CEE" w:rsidRPr="00915C7C">
        <w:rPr>
          <w:i/>
          <w:vertAlign w:val="superscript"/>
          <w:lang w:val="pt-BR"/>
        </w:rPr>
        <w:t>-1</w:t>
      </w:r>
      <w:r w:rsidR="00A71CEE" w:rsidRPr="00915C7C">
        <w:rPr>
          <w:lang w:val="pt-BR"/>
        </w:rPr>
        <w:t xml:space="preserve"> e </w:t>
      </w:r>
      <w:r w:rsidR="00A71CEE" w:rsidRPr="00915C7C">
        <w:rPr>
          <w:rFonts w:eastAsia="SimSun"/>
        </w:rPr>
        <w:t>α</w:t>
      </w:r>
      <w:r w:rsidR="00A71CEE" w:rsidRPr="00915C7C">
        <w:t>1-glicoprote</w:t>
      </w:r>
      <w:r w:rsidR="00A71CEE" w:rsidRPr="00915C7C">
        <w:rPr>
          <w:lang w:val="pt-BR"/>
        </w:rPr>
        <w:t xml:space="preserve">ína ácida (F), </w:t>
      </w:r>
      <w:r w:rsidR="00A71CEE" w:rsidRPr="00915C7C">
        <w:rPr>
          <w:i/>
          <w:lang w:val="pt-BR"/>
        </w:rPr>
        <w:t>mg.dL</w:t>
      </w:r>
      <w:r w:rsidR="00A71CEE" w:rsidRPr="00915C7C">
        <w:rPr>
          <w:i/>
          <w:vertAlign w:val="superscript"/>
          <w:lang w:val="pt-BR"/>
        </w:rPr>
        <w:t>-1</w:t>
      </w:r>
      <w:r w:rsidR="008A6309" w:rsidRPr="00915C7C">
        <w:t xml:space="preserve">no </w:t>
      </w:r>
      <w:r w:rsidR="00A71CEE" w:rsidRPr="00915C7C">
        <w:rPr>
          <w:lang w:val="pt-BR"/>
        </w:rPr>
        <w:t>soro sanguíneo</w:t>
      </w:r>
      <w:r w:rsidR="008A6309" w:rsidRPr="00915C7C">
        <w:t xml:space="preserve"> d</w:t>
      </w:r>
      <w:r w:rsidR="008A6309" w:rsidRPr="00915C7C">
        <w:rPr>
          <w:color w:val="0D0D0D"/>
        </w:rPr>
        <w:t>e fêmeas suínas em fase inicial, com artrite induzida por adjuvante na fase de lactação.</w:t>
      </w:r>
    </w:p>
    <w:p w:rsidR="00C30935" w:rsidRPr="00915C7C" w:rsidRDefault="00C30935" w:rsidP="00915C7C">
      <w:pPr>
        <w:pStyle w:val="Recuodecorpodetexto"/>
        <w:tabs>
          <w:tab w:val="left" w:pos="142"/>
        </w:tabs>
        <w:spacing w:after="0" w:line="360" w:lineRule="auto"/>
        <w:ind w:left="993" w:right="-171" w:hanging="993"/>
        <w:jc w:val="both"/>
        <w:rPr>
          <w:color w:val="0D0D0D"/>
          <w:lang w:val="pt-BR"/>
        </w:rPr>
      </w:pPr>
    </w:p>
    <w:p w:rsidR="00C30935" w:rsidRPr="00C30935" w:rsidRDefault="005751A3" w:rsidP="00677B8A">
      <w:pPr>
        <w:pStyle w:val="Ttulo3"/>
        <w:spacing w:before="0" w:after="0" w:line="360" w:lineRule="auto"/>
      </w:pPr>
      <w:r w:rsidRPr="00915C7C">
        <w:t>CONCLUSÃO</w:t>
      </w:r>
    </w:p>
    <w:p w:rsidR="00F37FC5" w:rsidRPr="00915C7C" w:rsidRDefault="00915C7C" w:rsidP="00C30935">
      <w:pPr>
        <w:pStyle w:val="NormalWeb"/>
        <w:spacing w:before="0" w:beforeAutospacing="0" w:after="0" w:afterAutospacing="0" w:line="360" w:lineRule="auto"/>
        <w:ind w:firstLine="567"/>
        <w:jc w:val="both"/>
      </w:pPr>
      <w:r>
        <w:t>A indução de artrite por adjuvante em leitões na fase de lactação resulta em estresse oxidativo no plasma e fígado dos animais após o desmame, porém não altera os parâmetros de resposta inflamatória.</w:t>
      </w:r>
    </w:p>
    <w:p w:rsidR="00F37FC5" w:rsidRDefault="005751A3" w:rsidP="00915C7C">
      <w:pPr>
        <w:pStyle w:val="Ttulo3"/>
        <w:spacing w:before="0" w:after="0" w:line="360" w:lineRule="auto"/>
        <w:rPr>
          <w:lang w:val="en-US"/>
        </w:rPr>
      </w:pPr>
      <w:bookmarkStart w:id="22" w:name="_Toc339289839"/>
      <w:r w:rsidRPr="00915C7C">
        <w:rPr>
          <w:lang w:val="en-US"/>
        </w:rPr>
        <w:lastRenderedPageBreak/>
        <w:t>REFERÊNCIAS</w:t>
      </w:r>
      <w:bookmarkEnd w:id="22"/>
    </w:p>
    <w:p w:rsidR="00C30935" w:rsidRPr="00C30935" w:rsidRDefault="00C30935" w:rsidP="00C30935">
      <w:pPr>
        <w:rPr>
          <w:lang w:val="en-US"/>
        </w:rPr>
      </w:pP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AEBI, H. Catalase. In: </w:t>
      </w:r>
      <w:r w:rsidRPr="00915C7C">
        <w:rPr>
          <w:b/>
          <w:color w:val="000000"/>
          <w:lang w:val="en-US"/>
        </w:rPr>
        <w:t>Methods of Enzymatic Analysis</w:t>
      </w:r>
      <w:r w:rsidRPr="00915C7C">
        <w:rPr>
          <w:color w:val="000000"/>
          <w:lang w:val="en-US"/>
        </w:rPr>
        <w:t>, BERGMEYER, H.U. (Ed). VerlagChemie – Academic Pre</w:t>
      </w:r>
      <w:r w:rsidR="00021701" w:rsidRPr="00915C7C">
        <w:rPr>
          <w:color w:val="000000"/>
          <w:lang w:val="en-US"/>
        </w:rPr>
        <w:t>ss, Weinheim-London, p. 674-678,</w:t>
      </w:r>
      <w:r w:rsidRPr="00915C7C">
        <w:rPr>
          <w:color w:val="000000"/>
          <w:lang w:val="en-US"/>
        </w:rPr>
        <w:t xml:space="preserve"> 1974.</w:t>
      </w:r>
    </w:p>
    <w:p w:rsidR="00BF71FC" w:rsidRPr="00915C7C" w:rsidRDefault="00BF71FC" w:rsidP="00915C7C">
      <w:pPr>
        <w:spacing w:line="360" w:lineRule="auto"/>
        <w:ind w:left="284" w:hanging="284"/>
        <w:jc w:val="both"/>
        <w:rPr>
          <w:color w:val="000000"/>
          <w:lang w:val="en-US"/>
        </w:rPr>
      </w:pPr>
      <w:r w:rsidRPr="00915C7C">
        <w:rPr>
          <w:color w:val="000000"/>
          <w:lang w:val="en-US"/>
        </w:rPr>
        <w:t xml:space="preserve">ANDRADE, E.R. </w:t>
      </w:r>
      <w:r w:rsidRPr="00915C7C">
        <w:rPr>
          <w:i/>
          <w:iCs/>
          <w:color w:val="000000"/>
          <w:lang w:val="en-US"/>
        </w:rPr>
        <w:t>et al</w:t>
      </w:r>
      <w:r w:rsidRPr="00915C7C">
        <w:rPr>
          <w:color w:val="000000"/>
          <w:lang w:val="en-US"/>
        </w:rPr>
        <w:t xml:space="preserve">. </w:t>
      </w:r>
      <w:r w:rsidRPr="00915C7C">
        <w:rPr>
          <w:color w:val="000000"/>
        </w:rPr>
        <w:t xml:space="preserve">Consequências da produção das espécies reativas de oxigênio na reprodução e principais mecanismos antioxidantes. </w:t>
      </w:r>
      <w:r w:rsidRPr="00915C7C">
        <w:rPr>
          <w:b/>
          <w:bCs/>
          <w:color w:val="000000"/>
          <w:lang w:val="en-US"/>
        </w:rPr>
        <w:t>Revista Brasileira de Reprodução Animal</w:t>
      </w:r>
      <w:r w:rsidRPr="00915C7C">
        <w:rPr>
          <w:color w:val="000000"/>
          <w:lang w:val="en-US"/>
        </w:rPr>
        <w:t xml:space="preserve">, v. 34, n. 2, p. </w:t>
      </w:r>
      <w:r w:rsidR="00953985" w:rsidRPr="00915C7C">
        <w:rPr>
          <w:color w:val="000000"/>
          <w:lang w:val="en-US"/>
        </w:rPr>
        <w:t>79-85, 2010.</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BRACHT, A. </w:t>
      </w:r>
      <w:r w:rsidRPr="00915C7C">
        <w:rPr>
          <w:i/>
          <w:iCs/>
          <w:color w:val="000000"/>
          <w:lang w:val="en-US"/>
        </w:rPr>
        <w:t>et al</w:t>
      </w:r>
      <w:r w:rsidRPr="00915C7C">
        <w:rPr>
          <w:color w:val="000000"/>
          <w:lang w:val="en-US"/>
        </w:rPr>
        <w:t xml:space="preserve">. Oxidative changes in the blood and serum albumin differentiate rats with monoarthritis and polyarthritis. </w:t>
      </w:r>
      <w:r w:rsidRPr="00915C7C">
        <w:rPr>
          <w:b/>
          <w:color w:val="000000"/>
          <w:lang w:val="en-US"/>
        </w:rPr>
        <w:t>SpringerPlus</w:t>
      </w:r>
      <w:r w:rsidRPr="00915C7C">
        <w:rPr>
          <w:color w:val="000000"/>
          <w:lang w:val="en-US"/>
        </w:rPr>
        <w:t>, v. 5</w:t>
      </w:r>
      <w:r w:rsidR="00021701" w:rsidRPr="00915C7C">
        <w:rPr>
          <w:color w:val="000000"/>
          <w:lang w:val="en-US"/>
        </w:rPr>
        <w:t>, n. 1, p. 36,</w:t>
      </w:r>
      <w:r w:rsidRPr="00915C7C">
        <w:rPr>
          <w:color w:val="000000"/>
          <w:lang w:val="en-US"/>
        </w:rPr>
        <w:t xml:space="preserve"> 2016.</w:t>
      </w:r>
    </w:p>
    <w:p w:rsidR="00F37FC5" w:rsidRPr="00915C7C" w:rsidRDefault="005751A3" w:rsidP="00915C7C">
      <w:pPr>
        <w:autoSpaceDE w:val="0"/>
        <w:autoSpaceDN w:val="0"/>
        <w:adjustRightInd w:val="0"/>
        <w:spacing w:line="360" w:lineRule="auto"/>
        <w:ind w:left="284" w:hanging="284"/>
        <w:jc w:val="both"/>
        <w:rPr>
          <w:color w:val="000000"/>
          <w:lang w:val="fr-FR"/>
        </w:rPr>
      </w:pPr>
      <w:r w:rsidRPr="00915C7C">
        <w:rPr>
          <w:color w:val="000000"/>
          <w:lang w:val="en-US"/>
        </w:rPr>
        <w:t xml:space="preserve">CAI, Y.; ZIMMERMAN, D.R.; EWAN, R.C. Diurnal variation in concentrations of plasma urea nitrogen and amino acids in pigs given free access to feed or fed twice daily. </w:t>
      </w:r>
      <w:r w:rsidRPr="00915C7C">
        <w:rPr>
          <w:b/>
          <w:bCs/>
          <w:color w:val="000000"/>
          <w:lang w:val="fr-FR"/>
        </w:rPr>
        <w:t>Journal Nutrition</w:t>
      </w:r>
      <w:r w:rsidR="00021701" w:rsidRPr="00915C7C">
        <w:rPr>
          <w:color w:val="000000"/>
          <w:lang w:val="fr-FR"/>
        </w:rPr>
        <w:t>, v. 124, p. 1088-1093,</w:t>
      </w:r>
      <w:r w:rsidRPr="00915C7C">
        <w:rPr>
          <w:color w:val="000000"/>
          <w:lang w:val="fr-FR"/>
        </w:rPr>
        <w:t xml:space="preserve"> 1994.</w:t>
      </w:r>
    </w:p>
    <w:p w:rsidR="00F37FC5" w:rsidRPr="00915C7C" w:rsidRDefault="005751A3" w:rsidP="00915C7C">
      <w:pPr>
        <w:autoSpaceDE w:val="0"/>
        <w:autoSpaceDN w:val="0"/>
        <w:adjustRightInd w:val="0"/>
        <w:spacing w:line="360" w:lineRule="auto"/>
        <w:ind w:left="284" w:hanging="284"/>
        <w:jc w:val="both"/>
        <w:rPr>
          <w:color w:val="000000"/>
          <w:lang w:val="fr-FR"/>
        </w:rPr>
      </w:pPr>
      <w:r w:rsidRPr="00915C7C">
        <w:rPr>
          <w:color w:val="000000"/>
          <w:lang w:val="fr-FR"/>
        </w:rPr>
        <w:t xml:space="preserve">COMAR, J.F. </w:t>
      </w:r>
      <w:r w:rsidRPr="00915C7C">
        <w:rPr>
          <w:i/>
          <w:iCs/>
          <w:color w:val="000000"/>
          <w:lang w:val="fr-FR"/>
        </w:rPr>
        <w:t>et al</w:t>
      </w:r>
      <w:r w:rsidRPr="00915C7C">
        <w:rPr>
          <w:color w:val="000000"/>
          <w:lang w:val="fr-FR"/>
        </w:rPr>
        <w:t xml:space="preserve">. Oxidative state of the liver of rats with adjuvant-induced arthritis. </w:t>
      </w:r>
      <w:r w:rsidRPr="00915C7C">
        <w:rPr>
          <w:b/>
          <w:color w:val="000000"/>
          <w:lang w:val="fr-FR"/>
        </w:rPr>
        <w:t>Free Radical Biology and Medicine</w:t>
      </w:r>
      <w:r w:rsidR="00021701" w:rsidRPr="00915C7C">
        <w:rPr>
          <w:color w:val="000000"/>
          <w:lang w:val="fr-FR"/>
        </w:rPr>
        <w:t>, v. 58, p. 144-153,</w:t>
      </w:r>
      <w:r w:rsidRPr="00915C7C">
        <w:rPr>
          <w:color w:val="000000"/>
          <w:lang w:val="fr-FR"/>
        </w:rPr>
        <w:t xml:space="preserve"> 2013.</w:t>
      </w:r>
    </w:p>
    <w:p w:rsidR="00F37FC5" w:rsidRPr="00915C7C" w:rsidRDefault="005751A3" w:rsidP="00915C7C">
      <w:pPr>
        <w:autoSpaceDE w:val="0"/>
        <w:autoSpaceDN w:val="0"/>
        <w:adjustRightInd w:val="0"/>
        <w:spacing w:line="360" w:lineRule="auto"/>
        <w:ind w:left="284" w:hanging="284"/>
        <w:jc w:val="both"/>
        <w:rPr>
          <w:color w:val="000000"/>
          <w:lang w:val="en-US"/>
        </w:rPr>
      </w:pPr>
      <w:r w:rsidRPr="00915C7C">
        <w:rPr>
          <w:color w:val="000000"/>
          <w:lang w:val="en-US"/>
        </w:rPr>
        <w:t>CRAY, C.</w:t>
      </w:r>
      <w:r w:rsidR="00221E4B" w:rsidRPr="00915C7C">
        <w:rPr>
          <w:color w:val="000000"/>
          <w:lang w:val="en-US"/>
        </w:rPr>
        <w:t>;ZAIAS, J.; ALTMAN, N.H</w:t>
      </w:r>
      <w:r w:rsidRPr="00915C7C">
        <w:rPr>
          <w:color w:val="000000"/>
          <w:lang w:val="en-US"/>
        </w:rPr>
        <w:t xml:space="preserve">. Acute Phase Response in Animals: A Review. </w:t>
      </w:r>
      <w:r w:rsidRPr="00915C7C">
        <w:rPr>
          <w:b/>
          <w:color w:val="000000"/>
          <w:lang w:val="en-US"/>
        </w:rPr>
        <w:t>Comparative Medicine</w:t>
      </w:r>
      <w:r w:rsidRPr="00915C7C">
        <w:rPr>
          <w:color w:val="000000"/>
          <w:lang w:val="en-US"/>
        </w:rPr>
        <w:t>, v.59, n. 6, p.517-5</w:t>
      </w:r>
      <w:r w:rsidR="00021701" w:rsidRPr="00915C7C">
        <w:rPr>
          <w:color w:val="000000"/>
          <w:lang w:val="en-US"/>
        </w:rPr>
        <w:t>26,</w:t>
      </w:r>
      <w:r w:rsidRPr="00915C7C">
        <w:rPr>
          <w:color w:val="000000"/>
          <w:lang w:val="en-US"/>
        </w:rPr>
        <w:t xml:space="preserve"> 2009.</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EREL, O. A novel automated direct measurement method for total antioxidant capacity using a new generation, more stable ABTS radical cation. </w:t>
      </w:r>
      <w:r w:rsidRPr="00915C7C">
        <w:rPr>
          <w:b/>
          <w:color w:val="000000"/>
          <w:lang w:val="en-US"/>
        </w:rPr>
        <w:t>Clinical Biochemestry</w:t>
      </w:r>
      <w:r w:rsidR="00021701" w:rsidRPr="00915C7C">
        <w:rPr>
          <w:color w:val="000000"/>
          <w:lang w:val="en-US"/>
        </w:rPr>
        <w:t>, v. 37, n. 4, p. 277-281,</w:t>
      </w:r>
      <w:r w:rsidRPr="00915C7C">
        <w:rPr>
          <w:color w:val="000000"/>
          <w:lang w:val="en-US"/>
        </w:rPr>
        <w:t xml:space="preserve"> 2004.</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FANALI, G. </w:t>
      </w:r>
      <w:r w:rsidRPr="00915C7C">
        <w:rPr>
          <w:i/>
          <w:iCs/>
          <w:color w:val="000000"/>
          <w:lang w:val="en-US"/>
        </w:rPr>
        <w:t>et al</w:t>
      </w:r>
      <w:r w:rsidRPr="00915C7C">
        <w:rPr>
          <w:color w:val="000000"/>
          <w:lang w:val="en-US"/>
        </w:rPr>
        <w:t xml:space="preserve">. Human serum albumin: From bench to bedside. </w:t>
      </w:r>
      <w:r w:rsidRPr="00915C7C">
        <w:rPr>
          <w:b/>
          <w:color w:val="000000"/>
          <w:lang w:val="en-US"/>
        </w:rPr>
        <w:t>Molecular Aspects of Medicine</w:t>
      </w:r>
      <w:r w:rsidR="00021701" w:rsidRPr="00915C7C">
        <w:rPr>
          <w:color w:val="000000"/>
          <w:lang w:val="en-US"/>
        </w:rPr>
        <w:t>, v. 33, p.209-290,</w:t>
      </w:r>
      <w:r w:rsidRPr="00915C7C">
        <w:rPr>
          <w:color w:val="000000"/>
          <w:lang w:val="en-US"/>
        </w:rPr>
        <w:t xml:space="preserve"> 2012.</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FAURE, P.; LAFOND, J.L. Measurement of plasma sulphidryl and carbonyl groups as a possible indicator of protein oxidation. In: </w:t>
      </w:r>
      <w:r w:rsidRPr="00915C7C">
        <w:rPr>
          <w:b/>
          <w:color w:val="000000"/>
          <w:lang w:val="en-US"/>
        </w:rPr>
        <w:t>Analysis of free radicals in biological systems</w:t>
      </w:r>
      <w:r w:rsidRPr="00915C7C">
        <w:rPr>
          <w:color w:val="000000"/>
          <w:lang w:val="en-US"/>
        </w:rPr>
        <w:t>, FAVIER, A.E. et al. (Eds.). Basel</w:t>
      </w:r>
      <w:r w:rsidR="00021701" w:rsidRPr="00915C7C">
        <w:rPr>
          <w:color w:val="000000"/>
          <w:lang w:val="en-US"/>
        </w:rPr>
        <w:t>: Birkhauser Verlag, p. 238-247,</w:t>
      </w:r>
      <w:r w:rsidRPr="00915C7C">
        <w:rPr>
          <w:color w:val="000000"/>
          <w:lang w:val="en-US"/>
        </w:rPr>
        <w:t xml:space="preserve"> 1995.</w:t>
      </w:r>
    </w:p>
    <w:p w:rsidR="00F04B05" w:rsidRPr="00915C7C" w:rsidRDefault="00F04B05" w:rsidP="00915C7C">
      <w:pPr>
        <w:spacing w:line="360" w:lineRule="auto"/>
        <w:ind w:left="284" w:hanging="284"/>
        <w:jc w:val="both"/>
        <w:rPr>
          <w:color w:val="000000"/>
        </w:rPr>
      </w:pPr>
      <w:r w:rsidRPr="00915C7C">
        <w:rPr>
          <w:color w:val="000000"/>
          <w:lang w:val="en-US"/>
        </w:rPr>
        <w:t xml:space="preserve">FEDOROVA, M.; BOLLINENI, R.C.; HOFFMAN, R. Protein carbonylation as a major hallmark of oxidative damage: update of analytical strategies. </w:t>
      </w:r>
      <w:r w:rsidRPr="00915C7C">
        <w:rPr>
          <w:b/>
          <w:bCs/>
          <w:color w:val="000000"/>
        </w:rPr>
        <w:t>Mass Spectrometry Reviews</w:t>
      </w:r>
      <w:r w:rsidRPr="00915C7C">
        <w:rPr>
          <w:color w:val="000000"/>
        </w:rPr>
        <w:t>, v.33, p. 79-97, 2014.</w:t>
      </w:r>
    </w:p>
    <w:p w:rsidR="007E622B" w:rsidRPr="00915C7C" w:rsidRDefault="007E622B" w:rsidP="00915C7C">
      <w:pPr>
        <w:spacing w:line="360" w:lineRule="auto"/>
        <w:ind w:left="284" w:hanging="284"/>
        <w:jc w:val="both"/>
        <w:rPr>
          <w:color w:val="000000"/>
          <w:lang w:val="en-US"/>
        </w:rPr>
      </w:pPr>
      <w:r w:rsidRPr="00915C7C">
        <w:rPr>
          <w:color w:val="000000"/>
        </w:rPr>
        <w:t xml:space="preserve">FERRARI, C.K.B. Capacidade antioxidante total (CAT) em estudos clínicos, experimentais e nutricionais. </w:t>
      </w:r>
      <w:r w:rsidRPr="00915C7C">
        <w:rPr>
          <w:b/>
          <w:bCs/>
          <w:color w:val="000000"/>
          <w:lang w:val="en-US"/>
        </w:rPr>
        <w:t>Journal of the Health Sciences Institute</w:t>
      </w:r>
      <w:r w:rsidRPr="00915C7C">
        <w:rPr>
          <w:color w:val="000000"/>
          <w:lang w:val="en-US"/>
        </w:rPr>
        <w:t>, v. 28, n. 4, p. 307-310, 2010.</w:t>
      </w:r>
    </w:p>
    <w:p w:rsidR="00F37FC5" w:rsidRPr="00915C7C" w:rsidRDefault="005751A3" w:rsidP="00915C7C">
      <w:pPr>
        <w:spacing w:line="360" w:lineRule="auto"/>
        <w:ind w:left="284" w:hanging="284"/>
        <w:jc w:val="both"/>
        <w:rPr>
          <w:b/>
          <w:color w:val="000000"/>
          <w:lang w:val="en-US"/>
        </w:rPr>
      </w:pPr>
      <w:r w:rsidRPr="00915C7C">
        <w:rPr>
          <w:color w:val="000000"/>
          <w:lang w:val="en-US"/>
        </w:rPr>
        <w:lastRenderedPageBreak/>
        <w:t xml:space="preserve">GONÇALVES, G.A. </w:t>
      </w:r>
      <w:r w:rsidRPr="00915C7C">
        <w:rPr>
          <w:i/>
          <w:iCs/>
          <w:color w:val="000000"/>
          <w:lang w:val="en-US"/>
        </w:rPr>
        <w:t>et al</w:t>
      </w:r>
      <w:r w:rsidRPr="00915C7C">
        <w:rPr>
          <w:color w:val="000000"/>
          <w:lang w:val="en-US"/>
        </w:rPr>
        <w:t xml:space="preserve">. Merlot grape pomace hydroalcoholic extract improves the oxidative and inflammatory states of rats with adjuvante-induced arthritis. </w:t>
      </w:r>
      <w:r w:rsidRPr="00915C7C">
        <w:rPr>
          <w:b/>
          <w:color w:val="000000"/>
          <w:lang w:val="en-US"/>
        </w:rPr>
        <w:t>Journal of Functional Foods</w:t>
      </w:r>
      <w:r w:rsidR="00021701" w:rsidRPr="00915C7C">
        <w:rPr>
          <w:color w:val="000000"/>
          <w:lang w:val="en-US"/>
        </w:rPr>
        <w:t>, v. 33, p. 408-418,</w:t>
      </w:r>
      <w:r w:rsidRPr="00915C7C">
        <w:rPr>
          <w:color w:val="000000"/>
          <w:lang w:val="en-US"/>
        </w:rPr>
        <w:t xml:space="preserve"> 2017.</w:t>
      </w:r>
    </w:p>
    <w:p w:rsidR="00F37FC5" w:rsidRPr="00915C7C" w:rsidRDefault="005751A3" w:rsidP="00915C7C">
      <w:pPr>
        <w:spacing w:line="360" w:lineRule="auto"/>
        <w:ind w:left="284" w:hanging="284"/>
        <w:jc w:val="both"/>
        <w:rPr>
          <w:color w:val="000000"/>
        </w:rPr>
      </w:pPr>
      <w:r w:rsidRPr="00915C7C">
        <w:rPr>
          <w:color w:val="000000"/>
          <w:lang w:val="en-US"/>
        </w:rPr>
        <w:t xml:space="preserve">GRACIANO, D.E. </w:t>
      </w:r>
      <w:r w:rsidRPr="00915C7C">
        <w:rPr>
          <w:i/>
          <w:iCs/>
          <w:color w:val="000000"/>
          <w:lang w:val="en-US"/>
        </w:rPr>
        <w:t>et al</w:t>
      </w:r>
      <w:r w:rsidRPr="00915C7C">
        <w:rPr>
          <w:color w:val="000000"/>
          <w:lang w:val="en-US"/>
        </w:rPr>
        <w:t xml:space="preserve">. </w:t>
      </w:r>
      <w:r w:rsidRPr="00915C7C">
        <w:rPr>
          <w:color w:val="000000"/>
        </w:rPr>
        <w:t xml:space="preserve">Identificação de artrite em suíno utilizando imagem termográfica. </w:t>
      </w:r>
      <w:r w:rsidRPr="00915C7C">
        <w:rPr>
          <w:b/>
          <w:color w:val="000000"/>
        </w:rPr>
        <w:t>Boletim de Indústri</w:t>
      </w:r>
      <w:r w:rsidR="00021701" w:rsidRPr="00915C7C">
        <w:rPr>
          <w:b/>
          <w:color w:val="000000"/>
        </w:rPr>
        <w:t>a Animal</w:t>
      </w:r>
      <w:r w:rsidR="00021701" w:rsidRPr="00915C7C">
        <w:rPr>
          <w:color w:val="000000"/>
        </w:rPr>
        <w:t>, v. 71, n. 1, p. 79-83,</w:t>
      </w:r>
      <w:r w:rsidRPr="00915C7C">
        <w:rPr>
          <w:color w:val="000000"/>
        </w:rPr>
        <w:t xml:space="preserve"> 2014.</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HASSAN, S.Z. </w:t>
      </w:r>
      <w:r w:rsidRPr="00915C7C">
        <w:rPr>
          <w:i/>
          <w:iCs/>
          <w:color w:val="000000"/>
          <w:lang w:val="en-US"/>
        </w:rPr>
        <w:t>et al</w:t>
      </w:r>
      <w:r w:rsidRPr="00915C7C">
        <w:rPr>
          <w:color w:val="000000"/>
          <w:lang w:val="en-US"/>
        </w:rPr>
        <w:t xml:space="preserve">. Oxidative stress in systemic lúpus erythematosus and rheumatoid arthritis patients: relationship to disease manifestations and activity. </w:t>
      </w:r>
      <w:r w:rsidRPr="00915C7C">
        <w:rPr>
          <w:b/>
          <w:color w:val="000000"/>
          <w:lang w:val="en-US"/>
        </w:rPr>
        <w:t>Internation Journal of Rheumatic Diseases</w:t>
      </w:r>
      <w:r w:rsidR="00021701" w:rsidRPr="00915C7C">
        <w:rPr>
          <w:color w:val="000000"/>
          <w:lang w:val="en-US"/>
        </w:rPr>
        <w:t>, v. 14, p. 352-331,</w:t>
      </w:r>
      <w:r w:rsidRPr="00915C7C">
        <w:rPr>
          <w:color w:val="000000"/>
          <w:lang w:val="en-US"/>
        </w:rPr>
        <w:t xml:space="preserve"> 2011</w:t>
      </w:r>
    </w:p>
    <w:p w:rsidR="002B345A" w:rsidRPr="00915C7C" w:rsidRDefault="002B345A" w:rsidP="00915C7C">
      <w:pPr>
        <w:spacing w:line="360" w:lineRule="auto"/>
        <w:ind w:left="284" w:hanging="284"/>
        <w:jc w:val="both"/>
        <w:rPr>
          <w:color w:val="000000"/>
          <w:lang w:val="en-US"/>
        </w:rPr>
      </w:pPr>
      <w:r w:rsidRPr="00915C7C">
        <w:rPr>
          <w:color w:val="000000"/>
          <w:lang w:val="en-US"/>
        </w:rPr>
        <w:t xml:space="preserve">JAIN, S.; GAUTAM, V.; NASEEM, S. Acute-phase proteins: as a diagnostic tool. </w:t>
      </w:r>
      <w:r w:rsidRPr="00915C7C">
        <w:rPr>
          <w:b/>
          <w:bCs/>
          <w:color w:val="000000"/>
          <w:lang w:val="en-US"/>
        </w:rPr>
        <w:t>Journal of Pharmacy &amp; BioAllied Sciences</w:t>
      </w:r>
      <w:r w:rsidR="00F929A6" w:rsidRPr="00915C7C">
        <w:rPr>
          <w:color w:val="000000"/>
          <w:lang w:val="en-US"/>
        </w:rPr>
        <w:t>, v. 3, n. 1, p. 118, 2011.</w:t>
      </w:r>
    </w:p>
    <w:p w:rsidR="003E1999" w:rsidRPr="00915C7C" w:rsidRDefault="005751A3" w:rsidP="00915C7C">
      <w:pPr>
        <w:spacing w:line="360" w:lineRule="auto"/>
        <w:ind w:left="284" w:hanging="284"/>
        <w:jc w:val="both"/>
        <w:rPr>
          <w:color w:val="000000"/>
          <w:lang w:val="en-US"/>
        </w:rPr>
      </w:pPr>
      <w:r w:rsidRPr="00915C7C">
        <w:rPr>
          <w:color w:val="000000"/>
          <w:lang w:val="en-US"/>
        </w:rPr>
        <w:t xml:space="preserve">JÚNIOR, A.A.J. </w:t>
      </w:r>
      <w:r w:rsidRPr="00915C7C">
        <w:rPr>
          <w:i/>
          <w:iCs/>
          <w:color w:val="000000"/>
          <w:lang w:val="en-US"/>
        </w:rPr>
        <w:t>et al</w:t>
      </w:r>
      <w:r w:rsidRPr="00915C7C">
        <w:rPr>
          <w:color w:val="000000"/>
          <w:lang w:val="en-US"/>
        </w:rPr>
        <w:t xml:space="preserve">. </w:t>
      </w:r>
      <w:r w:rsidRPr="00915C7C">
        <w:rPr>
          <w:color w:val="000000"/>
        </w:rPr>
        <w:t xml:space="preserve">Peroxidação Lípidica e etanol: papel da glutationa reduzida e vitamina E. </w:t>
      </w:r>
      <w:r w:rsidRPr="00915C7C">
        <w:rPr>
          <w:b/>
          <w:color w:val="000000"/>
        </w:rPr>
        <w:t>Medicina</w:t>
      </w:r>
      <w:r w:rsidRPr="00915C7C">
        <w:rPr>
          <w:color w:val="000000"/>
        </w:rPr>
        <w:t xml:space="preserve">, Ribeirão Preto. </w:t>
      </w:r>
      <w:r w:rsidR="00021701" w:rsidRPr="00915C7C">
        <w:rPr>
          <w:color w:val="000000"/>
          <w:lang w:val="en-US"/>
        </w:rPr>
        <w:t>Online, v. 31, n. 3, p. 434-449,</w:t>
      </w:r>
      <w:r w:rsidRPr="00915C7C">
        <w:rPr>
          <w:color w:val="000000"/>
          <w:lang w:val="en-US"/>
        </w:rPr>
        <w:t xml:space="preserve"> 1998.</w:t>
      </w:r>
    </w:p>
    <w:p w:rsidR="00F37FC5" w:rsidRPr="00915C7C" w:rsidRDefault="005751A3" w:rsidP="00915C7C">
      <w:pPr>
        <w:spacing w:line="360" w:lineRule="auto"/>
        <w:ind w:left="284" w:hanging="284"/>
        <w:jc w:val="both"/>
        <w:rPr>
          <w:color w:val="000000"/>
          <w:lang w:val="en-US"/>
        </w:rPr>
      </w:pPr>
      <w:r w:rsidRPr="00915C7C">
        <w:rPr>
          <w:lang w:val="en-US"/>
        </w:rPr>
        <w:t xml:space="preserve">LAEMMLI, U.K. Clevage of structural proteins during the assembly of the head of bacteriophage T4. </w:t>
      </w:r>
      <w:r w:rsidRPr="00915C7C">
        <w:rPr>
          <w:b/>
          <w:lang w:val="en-US"/>
        </w:rPr>
        <w:t>Nature</w:t>
      </w:r>
      <w:r w:rsidRPr="00915C7C">
        <w:rPr>
          <w:lang w:val="en-US"/>
        </w:rPr>
        <w:t>, v. 227, p. 680-685</w:t>
      </w:r>
      <w:r w:rsidR="00021701" w:rsidRPr="00915C7C">
        <w:rPr>
          <w:lang w:val="en-US"/>
        </w:rPr>
        <w:t>,</w:t>
      </w:r>
      <w:r w:rsidRPr="00915C7C">
        <w:rPr>
          <w:lang w:val="en-US"/>
        </w:rPr>
        <w:t xml:space="preserve"> 1970.</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LEVINE, R.L. </w:t>
      </w:r>
      <w:r w:rsidRPr="00915C7C">
        <w:rPr>
          <w:i/>
          <w:iCs/>
          <w:color w:val="000000"/>
          <w:lang w:val="en-US"/>
        </w:rPr>
        <w:t>et al</w:t>
      </w:r>
      <w:r w:rsidRPr="00915C7C">
        <w:rPr>
          <w:color w:val="000000"/>
          <w:lang w:val="en-US"/>
        </w:rPr>
        <w:t xml:space="preserve">. Determination of carbonyl content in oxidatively modified proteins. </w:t>
      </w:r>
      <w:r w:rsidRPr="00915C7C">
        <w:rPr>
          <w:b/>
          <w:color w:val="000000"/>
          <w:lang w:val="en-US"/>
        </w:rPr>
        <w:t>Methods of Enzymology</w:t>
      </w:r>
      <w:r w:rsidR="00021701" w:rsidRPr="00915C7C">
        <w:rPr>
          <w:color w:val="000000"/>
          <w:lang w:val="en-US"/>
        </w:rPr>
        <w:t>, v. 186, p. 464-478,</w:t>
      </w:r>
      <w:r w:rsidRPr="00915C7C">
        <w:rPr>
          <w:color w:val="000000"/>
          <w:lang w:val="en-US"/>
        </w:rPr>
        <w:t xml:space="preserve"> 1990.</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LOWRY, O.H. </w:t>
      </w:r>
      <w:r w:rsidRPr="00915C7C">
        <w:rPr>
          <w:i/>
          <w:iCs/>
          <w:color w:val="000000"/>
          <w:lang w:val="en-US"/>
        </w:rPr>
        <w:t>et al</w:t>
      </w:r>
      <w:r w:rsidRPr="00915C7C">
        <w:rPr>
          <w:color w:val="000000"/>
          <w:lang w:val="en-US"/>
        </w:rPr>
        <w:t xml:space="preserve">. Protein measurement with the Folin phenol reagent. </w:t>
      </w:r>
      <w:r w:rsidRPr="00915C7C">
        <w:rPr>
          <w:b/>
          <w:color w:val="000000"/>
          <w:lang w:val="en-US"/>
        </w:rPr>
        <w:t>Journal of Biology and Che</w:t>
      </w:r>
      <w:r w:rsidR="00021701" w:rsidRPr="00915C7C">
        <w:rPr>
          <w:b/>
          <w:color w:val="000000"/>
          <w:lang w:val="en-US"/>
        </w:rPr>
        <w:t>mistry</w:t>
      </w:r>
      <w:r w:rsidR="00021701" w:rsidRPr="00915C7C">
        <w:rPr>
          <w:color w:val="000000"/>
          <w:lang w:val="en-US"/>
        </w:rPr>
        <w:t>, v.193, n. 1; p. 265-275,</w:t>
      </w:r>
      <w:r w:rsidRPr="00915C7C">
        <w:rPr>
          <w:color w:val="000000"/>
          <w:lang w:val="en-US"/>
        </w:rPr>
        <w:t xml:space="preserve"> 1951.</w:t>
      </w:r>
    </w:p>
    <w:p w:rsidR="00AF7986" w:rsidRPr="00915C7C" w:rsidRDefault="00AF7986" w:rsidP="00915C7C">
      <w:pPr>
        <w:spacing w:line="360" w:lineRule="auto"/>
        <w:ind w:left="284" w:hanging="284"/>
        <w:jc w:val="both"/>
        <w:rPr>
          <w:color w:val="000000"/>
          <w:lang w:val="en-US"/>
        </w:rPr>
      </w:pPr>
      <w:r w:rsidRPr="00915C7C">
        <w:rPr>
          <w:color w:val="000000"/>
          <w:lang w:val="en-US"/>
        </w:rPr>
        <w:t xml:space="preserve">MCBEAN, G.J. Cysteine, Glutathione, and Thiol Redox Balance in Astrocytes. </w:t>
      </w:r>
      <w:r w:rsidRPr="00915C7C">
        <w:rPr>
          <w:b/>
          <w:bCs/>
          <w:color w:val="000000"/>
          <w:lang w:val="en-US"/>
        </w:rPr>
        <w:t>Antioxidants</w:t>
      </w:r>
      <w:r w:rsidRPr="00915C7C">
        <w:rPr>
          <w:color w:val="000000"/>
          <w:lang w:val="en-US"/>
        </w:rPr>
        <w:t>, v.6, n. 3, p. 62, 2017.</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MARKLUND, S.; MARKLUND, G. Involvement of the superoxide anion radical in the oxidation of pyrogallol and a convenient assay for superoxide dismutase. </w:t>
      </w:r>
      <w:r w:rsidRPr="00915C7C">
        <w:rPr>
          <w:b/>
          <w:color w:val="000000"/>
          <w:lang w:val="en-US"/>
        </w:rPr>
        <w:t>European Journal of Biochemistry</w:t>
      </w:r>
      <w:r w:rsidR="00021701" w:rsidRPr="00915C7C">
        <w:rPr>
          <w:color w:val="000000"/>
          <w:lang w:val="en-US"/>
        </w:rPr>
        <w:t>, v. 47, p. 469-474,</w:t>
      </w:r>
      <w:r w:rsidRPr="00915C7C">
        <w:rPr>
          <w:color w:val="000000"/>
          <w:lang w:val="en-US"/>
        </w:rPr>
        <w:t xml:space="preserve"> 1974.</w:t>
      </w:r>
    </w:p>
    <w:p w:rsidR="00F37FC5" w:rsidRPr="00915C7C" w:rsidRDefault="005751A3" w:rsidP="00915C7C">
      <w:pPr>
        <w:spacing w:line="360" w:lineRule="auto"/>
        <w:ind w:left="284" w:hanging="284"/>
        <w:jc w:val="both"/>
        <w:rPr>
          <w:color w:val="000000"/>
          <w:lang w:val="en-US"/>
        </w:rPr>
      </w:pPr>
      <w:r w:rsidRPr="00915C7C">
        <w:rPr>
          <w:color w:val="000000"/>
          <w:lang w:val="en-US"/>
        </w:rPr>
        <w:t xml:space="preserve">MATEEN, S. </w:t>
      </w:r>
      <w:r w:rsidRPr="00915C7C">
        <w:rPr>
          <w:i/>
          <w:iCs/>
          <w:color w:val="000000"/>
          <w:lang w:val="en-US"/>
        </w:rPr>
        <w:t>et al</w:t>
      </w:r>
      <w:r w:rsidRPr="00915C7C">
        <w:rPr>
          <w:color w:val="000000"/>
          <w:lang w:val="en-US"/>
        </w:rPr>
        <w:t xml:space="preserve">. Increased Reactive Oxygen Species Formation and Oxidative Stress in Rheumatoid Arthritis. </w:t>
      </w:r>
      <w:r w:rsidRPr="00915C7C">
        <w:rPr>
          <w:b/>
          <w:color w:val="000000"/>
          <w:lang w:val="en-US"/>
        </w:rPr>
        <w:t>PLoS ONE</w:t>
      </w:r>
      <w:r w:rsidRPr="00915C7C">
        <w:rPr>
          <w:color w:val="000000"/>
          <w:lang w:val="en-US"/>
        </w:rPr>
        <w:t>,</w:t>
      </w:r>
      <w:r w:rsidR="00021701" w:rsidRPr="00915C7C">
        <w:rPr>
          <w:color w:val="000000"/>
          <w:lang w:val="en-US"/>
        </w:rPr>
        <w:t xml:space="preserve"> v. 11, n. 4, p. e0152925,</w:t>
      </w:r>
      <w:r w:rsidRPr="00915C7C">
        <w:rPr>
          <w:color w:val="000000"/>
          <w:lang w:val="en-US"/>
        </w:rPr>
        <w:t xml:space="preserve"> 2016.</w:t>
      </w:r>
    </w:p>
    <w:p w:rsidR="00F37FC5" w:rsidRPr="00915C7C" w:rsidRDefault="005751A3" w:rsidP="00915C7C">
      <w:pPr>
        <w:tabs>
          <w:tab w:val="left" w:pos="6020"/>
        </w:tabs>
        <w:spacing w:line="360" w:lineRule="auto"/>
        <w:ind w:left="284" w:hanging="284"/>
        <w:jc w:val="both"/>
        <w:rPr>
          <w:color w:val="000000"/>
        </w:rPr>
      </w:pPr>
      <w:r w:rsidRPr="00915C7C">
        <w:rPr>
          <w:color w:val="000000"/>
          <w:lang w:val="en-US"/>
        </w:rPr>
        <w:t xml:space="preserve">MORENO, A.M. </w:t>
      </w:r>
      <w:r w:rsidRPr="00915C7C">
        <w:rPr>
          <w:i/>
          <w:iCs/>
          <w:color w:val="000000"/>
          <w:lang w:val="en-US"/>
        </w:rPr>
        <w:t>et al</w:t>
      </w:r>
      <w:r w:rsidRPr="00915C7C">
        <w:rPr>
          <w:color w:val="000000"/>
          <w:lang w:val="en-US"/>
        </w:rPr>
        <w:t xml:space="preserve">. </w:t>
      </w:r>
      <w:r w:rsidRPr="00915C7C">
        <w:rPr>
          <w:bCs/>
          <w:color w:val="000000"/>
        </w:rPr>
        <w:t>Colheita e processamento de amostras de sangue em suínos para fins de diagnóstico.</w:t>
      </w:r>
      <w:r w:rsidRPr="00915C7C">
        <w:rPr>
          <w:color w:val="000000"/>
        </w:rPr>
        <w:t xml:space="preserve"> Concórdia: EMBRAPA-CNPSA (EMBR</w:t>
      </w:r>
      <w:r w:rsidR="00021701" w:rsidRPr="00915C7C">
        <w:rPr>
          <w:color w:val="000000"/>
        </w:rPr>
        <w:t>APA-CNPSA. Documentos, 41), 30p,</w:t>
      </w:r>
      <w:r w:rsidRPr="00915C7C">
        <w:rPr>
          <w:color w:val="000000"/>
        </w:rPr>
        <w:t xml:space="preserve"> 1997.</w:t>
      </w:r>
    </w:p>
    <w:p w:rsidR="00F37FC5" w:rsidRPr="00915C7C" w:rsidRDefault="005751A3" w:rsidP="00915C7C">
      <w:pPr>
        <w:spacing w:line="360" w:lineRule="auto"/>
        <w:ind w:left="284" w:hanging="284"/>
        <w:jc w:val="both"/>
        <w:rPr>
          <w:color w:val="000000" w:themeColor="text1"/>
        </w:rPr>
      </w:pPr>
      <w:r w:rsidRPr="00915C7C">
        <w:rPr>
          <w:caps/>
          <w:color w:val="000000" w:themeColor="text1"/>
          <w:lang w:val="en-US"/>
        </w:rPr>
        <w:lastRenderedPageBreak/>
        <w:t>National Research Council</w:t>
      </w:r>
      <w:r w:rsidRPr="00915C7C">
        <w:rPr>
          <w:color w:val="000000" w:themeColor="text1"/>
          <w:lang w:val="en-US"/>
        </w:rPr>
        <w:t xml:space="preserve"> – NRC.</w:t>
      </w:r>
      <w:r w:rsidR="00836DFD" w:rsidRPr="00915C7C">
        <w:rPr>
          <w:color w:val="000000" w:themeColor="text1"/>
          <w:lang w:val="en-US"/>
        </w:rPr>
        <w:t xml:space="preserve">In: </w:t>
      </w:r>
      <w:r w:rsidRPr="00915C7C">
        <w:rPr>
          <w:b/>
          <w:color w:val="000000" w:themeColor="text1"/>
          <w:lang w:val="en-US"/>
        </w:rPr>
        <w:t>Nutrients requirement of swine</w:t>
      </w:r>
      <w:r w:rsidRPr="00915C7C">
        <w:rPr>
          <w:color w:val="000000" w:themeColor="text1"/>
          <w:lang w:val="en-US"/>
        </w:rPr>
        <w:t xml:space="preserve">.11 ed. </w:t>
      </w:r>
      <w:r w:rsidRPr="00915C7C">
        <w:rPr>
          <w:color w:val="000000" w:themeColor="text1"/>
        </w:rPr>
        <w:t>Washington</w:t>
      </w:r>
      <w:r w:rsidR="00021701" w:rsidRPr="00915C7C">
        <w:rPr>
          <w:color w:val="000000" w:themeColor="text1"/>
        </w:rPr>
        <w:t>,</w:t>
      </w:r>
      <w:r w:rsidRPr="00915C7C">
        <w:rPr>
          <w:color w:val="000000" w:themeColor="text1"/>
        </w:rPr>
        <w:t xml:space="preserve"> D</w:t>
      </w:r>
      <w:r w:rsidR="00021701" w:rsidRPr="00915C7C">
        <w:rPr>
          <w:color w:val="000000" w:themeColor="text1"/>
        </w:rPr>
        <w:t>.</w:t>
      </w:r>
      <w:r w:rsidRPr="00915C7C">
        <w:rPr>
          <w:color w:val="000000" w:themeColor="text1"/>
        </w:rPr>
        <w:t>C</w:t>
      </w:r>
      <w:r w:rsidR="00021701" w:rsidRPr="00915C7C">
        <w:rPr>
          <w:color w:val="000000" w:themeColor="text1"/>
        </w:rPr>
        <w:t>.</w:t>
      </w:r>
      <w:r w:rsidRPr="00915C7C">
        <w:rPr>
          <w:color w:val="000000" w:themeColor="text1"/>
        </w:rPr>
        <w:t>:Nati</w:t>
      </w:r>
      <w:r w:rsidR="00021701" w:rsidRPr="00915C7C">
        <w:rPr>
          <w:color w:val="000000" w:themeColor="text1"/>
        </w:rPr>
        <w:t>onal Academic Press, 400 p</w:t>
      </w:r>
      <w:r w:rsidR="00793DF7" w:rsidRPr="00915C7C">
        <w:rPr>
          <w:color w:val="000000" w:themeColor="text1"/>
        </w:rPr>
        <w:t>, 2012.</w:t>
      </w:r>
    </w:p>
    <w:p w:rsidR="00F37FC5" w:rsidRPr="00915C7C" w:rsidRDefault="005751A3" w:rsidP="00915C7C">
      <w:pPr>
        <w:spacing w:line="360" w:lineRule="auto"/>
        <w:ind w:left="284" w:hanging="284"/>
        <w:jc w:val="both"/>
        <w:rPr>
          <w:color w:val="000000" w:themeColor="text1"/>
        </w:rPr>
      </w:pPr>
      <w:r w:rsidRPr="00915C7C">
        <w:rPr>
          <w:color w:val="000000" w:themeColor="text1"/>
        </w:rPr>
        <w:t xml:space="preserve">NETO, N.S.R.; CARVALHO, J.F. O uso de provas de atividade inflamatória em reumatologia. </w:t>
      </w:r>
      <w:r w:rsidRPr="00915C7C">
        <w:rPr>
          <w:b/>
          <w:color w:val="000000" w:themeColor="text1"/>
        </w:rPr>
        <w:t>Revista Brasileira de Reumatologia</w:t>
      </w:r>
      <w:r w:rsidR="00361482" w:rsidRPr="00915C7C">
        <w:rPr>
          <w:color w:val="000000" w:themeColor="text1"/>
        </w:rPr>
        <w:t>, v. 49, n. 4, p. 413-430,</w:t>
      </w:r>
      <w:r w:rsidRPr="00915C7C">
        <w:rPr>
          <w:color w:val="000000" w:themeColor="text1"/>
        </w:rPr>
        <w:t xml:space="preserve"> 2009.</w:t>
      </w:r>
    </w:p>
    <w:p w:rsidR="00F37FC5" w:rsidRPr="00915C7C" w:rsidRDefault="005751A3" w:rsidP="00915C7C">
      <w:pPr>
        <w:spacing w:line="360" w:lineRule="auto"/>
        <w:ind w:left="284" w:hanging="284"/>
        <w:jc w:val="both"/>
        <w:rPr>
          <w:color w:val="000000" w:themeColor="text1"/>
        </w:rPr>
      </w:pPr>
      <w:r w:rsidRPr="00915C7C">
        <w:rPr>
          <w:color w:val="000000" w:themeColor="text1"/>
        </w:rPr>
        <w:t xml:space="preserve">OLIVEIRA, C.M.B. </w:t>
      </w:r>
      <w:r w:rsidRPr="00915C7C">
        <w:rPr>
          <w:i/>
          <w:iCs/>
          <w:color w:val="000000" w:themeColor="text1"/>
        </w:rPr>
        <w:t>et al</w:t>
      </w:r>
      <w:r w:rsidRPr="00915C7C">
        <w:rPr>
          <w:color w:val="000000" w:themeColor="text1"/>
        </w:rPr>
        <w:t xml:space="preserve">. Citocinas e Dor. </w:t>
      </w:r>
      <w:r w:rsidRPr="00915C7C">
        <w:rPr>
          <w:b/>
          <w:color w:val="000000" w:themeColor="text1"/>
        </w:rPr>
        <w:t>Revista Brasileira de Anestesiologia</w:t>
      </w:r>
      <w:r w:rsidR="00361482" w:rsidRPr="00915C7C">
        <w:rPr>
          <w:color w:val="000000" w:themeColor="text1"/>
        </w:rPr>
        <w:t>, v.61, n. 2, p. 255-265,</w:t>
      </w:r>
      <w:r w:rsidRPr="00915C7C">
        <w:rPr>
          <w:color w:val="000000" w:themeColor="text1"/>
        </w:rPr>
        <w:t>2011.</w:t>
      </w:r>
    </w:p>
    <w:p w:rsidR="00F37FC5" w:rsidRPr="00915C7C" w:rsidRDefault="005751A3" w:rsidP="00915C7C">
      <w:pPr>
        <w:spacing w:line="360" w:lineRule="auto"/>
        <w:ind w:left="284" w:hanging="284"/>
        <w:jc w:val="both"/>
        <w:rPr>
          <w:color w:val="000000"/>
          <w:lang w:val="en-US"/>
        </w:rPr>
      </w:pPr>
      <w:r w:rsidRPr="00915C7C">
        <w:rPr>
          <w:color w:val="000000"/>
          <w:lang w:val="en-US"/>
        </w:rPr>
        <w:t>PEARSON, C.M.</w:t>
      </w:r>
      <w:r w:rsidR="00361482" w:rsidRPr="00915C7C">
        <w:rPr>
          <w:color w:val="000000"/>
          <w:lang w:val="en-US"/>
        </w:rPr>
        <w:t>; W</w:t>
      </w:r>
      <w:r w:rsidRPr="00915C7C">
        <w:rPr>
          <w:color w:val="000000"/>
          <w:lang w:val="en-US"/>
        </w:rPr>
        <w:t xml:space="preserve">OOD, F.D. Studies of arthritis and other lesions induced in rats by the injection of mycobacterial adjuvant. </w:t>
      </w:r>
      <w:r w:rsidRPr="00915C7C">
        <w:rPr>
          <w:b/>
          <w:color w:val="000000"/>
          <w:lang w:val="en-US"/>
        </w:rPr>
        <w:t>American Journal of Pathology</w:t>
      </w:r>
      <w:r w:rsidR="00361482" w:rsidRPr="00915C7C">
        <w:rPr>
          <w:color w:val="000000"/>
          <w:lang w:val="en-US"/>
        </w:rPr>
        <w:t>, v. 42, n. 1, p.73-95,</w:t>
      </w:r>
      <w:r w:rsidRPr="00915C7C">
        <w:rPr>
          <w:color w:val="000000"/>
          <w:lang w:val="en-US"/>
        </w:rPr>
        <w:t xml:space="preserve"> 1963.</w:t>
      </w:r>
    </w:p>
    <w:p w:rsidR="00F37FC5" w:rsidRPr="00915C7C" w:rsidRDefault="005751A3" w:rsidP="00915C7C">
      <w:pPr>
        <w:adjustRightInd w:val="0"/>
        <w:spacing w:line="360" w:lineRule="auto"/>
        <w:ind w:left="284" w:hanging="284"/>
        <w:jc w:val="both"/>
        <w:rPr>
          <w:color w:val="000000"/>
          <w:lang w:val="en-US"/>
        </w:rPr>
      </w:pPr>
      <w:bookmarkStart w:id="23" w:name="_Toc339289840"/>
      <w:r w:rsidRPr="00915C7C">
        <w:rPr>
          <w:color w:val="000000"/>
          <w:lang w:val="en-US"/>
        </w:rPr>
        <w:t xml:space="preserve">SUKKETSIRI, W. </w:t>
      </w:r>
      <w:r w:rsidRPr="00915C7C">
        <w:rPr>
          <w:i/>
          <w:iCs/>
          <w:color w:val="000000"/>
          <w:lang w:val="en-US"/>
        </w:rPr>
        <w:t>et al</w:t>
      </w:r>
      <w:r w:rsidRPr="00915C7C">
        <w:rPr>
          <w:color w:val="000000"/>
          <w:lang w:val="en-US"/>
        </w:rPr>
        <w:t xml:space="preserve">. Effects of </w:t>
      </w:r>
      <w:r w:rsidRPr="00915C7C">
        <w:rPr>
          <w:i/>
          <w:color w:val="000000"/>
          <w:lang w:val="en-US"/>
        </w:rPr>
        <w:t>Apium graveolens</w:t>
      </w:r>
      <w:r w:rsidRPr="00915C7C">
        <w:rPr>
          <w:color w:val="000000"/>
          <w:lang w:val="en-US"/>
        </w:rPr>
        <w:t xml:space="preserve"> on the Oxidative Stress in the Liver of Adjuvant-Induced Arthritic Rats. </w:t>
      </w:r>
      <w:r w:rsidRPr="00915C7C">
        <w:rPr>
          <w:b/>
          <w:color w:val="000000"/>
          <w:lang w:val="en-US"/>
        </w:rPr>
        <w:t>Preventive and Nutrition Food Science</w:t>
      </w:r>
      <w:r w:rsidR="00361482" w:rsidRPr="00915C7C">
        <w:rPr>
          <w:color w:val="000000"/>
          <w:lang w:val="en-US"/>
        </w:rPr>
        <w:t>, v. 21, n. 2, p. 79-84,</w:t>
      </w:r>
      <w:r w:rsidRPr="00915C7C">
        <w:rPr>
          <w:color w:val="000000"/>
          <w:lang w:val="en-US"/>
        </w:rPr>
        <w:t>2016.</w:t>
      </w:r>
    </w:p>
    <w:p w:rsidR="00F37FC5" w:rsidRPr="00915C7C" w:rsidRDefault="005751A3" w:rsidP="00915C7C">
      <w:pPr>
        <w:adjustRightInd w:val="0"/>
        <w:spacing w:line="360" w:lineRule="auto"/>
        <w:ind w:left="284" w:hanging="284"/>
        <w:jc w:val="both"/>
        <w:rPr>
          <w:color w:val="000000"/>
          <w:lang w:val="en-US"/>
        </w:rPr>
      </w:pPr>
      <w:r w:rsidRPr="00915C7C">
        <w:rPr>
          <w:color w:val="000000"/>
          <w:lang w:val="en-US"/>
        </w:rPr>
        <w:t xml:space="preserve">VASCONCELOS, S.M.L. </w:t>
      </w:r>
      <w:r w:rsidRPr="00915C7C">
        <w:rPr>
          <w:i/>
          <w:iCs/>
          <w:color w:val="000000"/>
          <w:lang w:val="en-US"/>
        </w:rPr>
        <w:t>et al</w:t>
      </w:r>
      <w:r w:rsidRPr="00915C7C">
        <w:rPr>
          <w:color w:val="000000"/>
          <w:lang w:val="en-US"/>
        </w:rPr>
        <w:t xml:space="preserve">. </w:t>
      </w:r>
      <w:r w:rsidRPr="00915C7C">
        <w:rPr>
          <w:color w:val="000000"/>
        </w:rPr>
        <w:t xml:space="preserve">Espécies reativas de oxigênio e de nitrogênio, antioxidantes e marcadores de dano oxidativo em sangue humano: principais métodos analíticos para sua determinação. </w:t>
      </w:r>
      <w:r w:rsidRPr="00915C7C">
        <w:rPr>
          <w:b/>
          <w:color w:val="000000"/>
          <w:lang w:val="en-US"/>
        </w:rPr>
        <w:t>Química Nova</w:t>
      </w:r>
      <w:r w:rsidR="00361482" w:rsidRPr="00915C7C">
        <w:rPr>
          <w:color w:val="000000"/>
          <w:lang w:val="en-US"/>
        </w:rPr>
        <w:t>, v. 30, n. 5, p. 1323-1338,</w:t>
      </w:r>
      <w:r w:rsidRPr="00915C7C">
        <w:rPr>
          <w:color w:val="000000"/>
          <w:lang w:val="en-US"/>
        </w:rPr>
        <w:t xml:space="preserve"> 2007.</w:t>
      </w:r>
    </w:p>
    <w:p w:rsidR="003E1999" w:rsidRPr="00915C7C" w:rsidRDefault="003E1999" w:rsidP="00915C7C">
      <w:pPr>
        <w:adjustRightInd w:val="0"/>
        <w:spacing w:line="360" w:lineRule="auto"/>
        <w:ind w:left="284" w:hanging="284"/>
        <w:jc w:val="both"/>
        <w:rPr>
          <w:color w:val="000000"/>
          <w:lang w:val="en-US"/>
        </w:rPr>
      </w:pPr>
      <w:r w:rsidRPr="00915C7C">
        <w:rPr>
          <w:color w:val="000000"/>
          <w:lang w:val="en-US"/>
        </w:rPr>
        <w:t xml:space="preserve">WEYDERT, C.J.; CULLEN, J.J. Measurement of superoxide dismutase, catalase and glutathione peroxidase in cultured cells and tissue. </w:t>
      </w:r>
      <w:r w:rsidRPr="00915C7C">
        <w:rPr>
          <w:b/>
          <w:bCs/>
          <w:color w:val="000000"/>
          <w:lang w:val="en-US"/>
        </w:rPr>
        <w:t>Nature Protocols</w:t>
      </w:r>
      <w:r w:rsidRPr="00915C7C">
        <w:rPr>
          <w:color w:val="000000"/>
          <w:lang w:val="en-US"/>
        </w:rPr>
        <w:t>, v. 5, n. 1, p. 51, 2010.</w:t>
      </w:r>
    </w:p>
    <w:bookmarkEnd w:id="23"/>
    <w:p w:rsidR="00C30935" w:rsidRDefault="005751A3" w:rsidP="00915C7C">
      <w:pPr>
        <w:pStyle w:val="Corpodetexto"/>
        <w:spacing w:after="160" w:line="360" w:lineRule="auto"/>
        <w:ind w:left="284" w:hanging="284"/>
        <w:jc w:val="both"/>
        <w:rPr>
          <w:lang w:val="en-US"/>
        </w:rPr>
      </w:pPr>
      <w:r w:rsidRPr="00915C7C">
        <w:rPr>
          <w:lang w:val="en-US"/>
        </w:rPr>
        <w:t xml:space="preserve">ZIMMERMAN, J.J. </w:t>
      </w:r>
      <w:r w:rsidRPr="00915C7C">
        <w:rPr>
          <w:i/>
          <w:iCs/>
          <w:lang w:val="en-US"/>
        </w:rPr>
        <w:t>et al</w:t>
      </w:r>
      <w:r w:rsidRPr="00915C7C">
        <w:rPr>
          <w:lang w:val="en-US"/>
        </w:rPr>
        <w:t xml:space="preserve">. </w:t>
      </w:r>
      <w:r w:rsidRPr="00915C7C">
        <w:rPr>
          <w:b/>
          <w:lang w:val="en-US"/>
        </w:rPr>
        <w:t>Diseases of Swine</w:t>
      </w:r>
      <w:r w:rsidRPr="00915C7C">
        <w:rPr>
          <w:lang w:val="en-US"/>
        </w:rPr>
        <w:t>. 10</w:t>
      </w:r>
      <w:r w:rsidRPr="00915C7C">
        <w:rPr>
          <w:vertAlign w:val="superscript"/>
          <w:lang w:val="en-US"/>
        </w:rPr>
        <w:t>th</w:t>
      </w:r>
      <w:r w:rsidR="00361482" w:rsidRPr="00915C7C">
        <w:rPr>
          <w:lang w:val="en-US"/>
        </w:rPr>
        <w:t>ed. Wiley-Blackwell, p. 303-306,</w:t>
      </w:r>
      <w:r w:rsidRPr="00915C7C">
        <w:rPr>
          <w:lang w:val="en-US"/>
        </w:rPr>
        <w:t xml:space="preserve"> 2012.</w:t>
      </w:r>
    </w:p>
    <w:p w:rsidR="00C30935" w:rsidRDefault="00C30935" w:rsidP="00915C7C">
      <w:pPr>
        <w:pStyle w:val="Corpodetexto"/>
        <w:spacing w:after="160" w:line="360" w:lineRule="auto"/>
        <w:ind w:left="284" w:hanging="284"/>
        <w:jc w:val="both"/>
        <w:rPr>
          <w:lang w:val="en-US"/>
        </w:rPr>
        <w:sectPr w:rsidR="00C30935" w:rsidSect="00BF12C5">
          <w:headerReference w:type="default" r:id="rId46"/>
          <w:headerReference w:type="first" r:id="rId47"/>
          <w:footerReference w:type="first" r:id="rId48"/>
          <w:pgSz w:w="11907" w:h="16840"/>
          <w:pgMar w:top="1418" w:right="1418" w:bottom="1418" w:left="1418" w:header="709" w:footer="1021" w:gutter="0"/>
          <w:lnNumType w:countBy="1" w:restart="continuous"/>
          <w:pgNumType w:start="1"/>
          <w:cols w:space="708"/>
          <w:docGrid w:linePitch="326"/>
        </w:sectPr>
      </w:pPr>
    </w:p>
    <w:p w:rsidR="00BF7E2D" w:rsidRPr="008B4D0A" w:rsidRDefault="00BF7E2D" w:rsidP="00BF7E2D">
      <w:pPr>
        <w:pStyle w:val="Corpodetexto"/>
        <w:spacing w:after="240"/>
        <w:ind w:left="284" w:hanging="284"/>
        <w:jc w:val="center"/>
        <w:rPr>
          <w:b/>
          <w:sz w:val="32"/>
          <w:szCs w:val="32"/>
          <w:lang w:val="pt-BR"/>
        </w:rPr>
      </w:pPr>
      <w:r w:rsidRPr="008B4D0A">
        <w:rPr>
          <w:b/>
          <w:sz w:val="32"/>
          <w:szCs w:val="32"/>
          <w:lang w:val="pt-BR"/>
        </w:rPr>
        <w:lastRenderedPageBreak/>
        <w:t>Normas da Revista</w:t>
      </w:r>
      <w:bookmarkStart w:id="24" w:name="_GoBack"/>
      <w:bookmarkEnd w:id="24"/>
    </w:p>
    <w:p w:rsidR="00C30935" w:rsidRDefault="00C30935" w:rsidP="00C30935">
      <w:pPr>
        <w:spacing w:after="286" w:line="239" w:lineRule="auto"/>
        <w:ind w:right="13"/>
        <w:jc w:val="both"/>
        <w:rPr>
          <w:rFonts w:eastAsia="Times New Roman"/>
          <w:b/>
          <w:color w:val="111111"/>
        </w:rPr>
      </w:pPr>
    </w:p>
    <w:p w:rsidR="00D47CE9" w:rsidRDefault="00D47CE9" w:rsidP="00C30935">
      <w:pPr>
        <w:spacing w:after="286" w:line="239" w:lineRule="auto"/>
        <w:ind w:right="13"/>
        <w:jc w:val="both"/>
      </w:pPr>
      <w:r>
        <w:rPr>
          <w:rFonts w:eastAsia="Times New Roman"/>
          <w:b/>
          <w:color w:val="111111"/>
        </w:rPr>
        <w:t>ATENÇÃO:</w:t>
      </w:r>
      <w:r>
        <w:rPr>
          <w:color w:val="111111"/>
        </w:rPr>
        <w:t xml:space="preserve"> As normas da </w:t>
      </w:r>
      <w:r w:rsidRPr="00C30935">
        <w:rPr>
          <w:b/>
          <w:bCs/>
          <w:color w:val="111111"/>
          <w:u w:val="single"/>
        </w:rPr>
        <w:t>Revista Ciência Agronômica</w:t>
      </w:r>
      <w:r>
        <w:rPr>
          <w:color w:val="111111"/>
        </w:rPr>
        <w:t xml:space="preserve"> podem sofrer alterações, portanto não deixe de consultá-las antes de fazer a submissão de um artigo. Elas são válidas para todos os trabalhos submetidos neste periódico. Um modelo de artigo pode ser visto em “MODELO ARTIGO” no endereço </w:t>
      </w:r>
      <w:r>
        <w:rPr>
          <w:color w:val="0000FF"/>
          <w:u w:val="single" w:color="0000FF"/>
        </w:rPr>
        <w:t>http://www.ccarevista.ufc.br</w:t>
      </w:r>
      <w:r>
        <w:rPr>
          <w:color w:val="111111"/>
        </w:rPr>
        <w:t>.</w:t>
      </w:r>
    </w:p>
    <w:p w:rsidR="00D47CE9" w:rsidRDefault="00D47CE9" w:rsidP="00C30935">
      <w:pPr>
        <w:pStyle w:val="Ttulo1"/>
        <w:keepLines/>
        <w:spacing w:before="0" w:after="10" w:line="249" w:lineRule="auto"/>
        <w:ind w:left="229" w:hanging="244"/>
        <w:jc w:val="both"/>
      </w:pPr>
      <w:r>
        <w:t>POLÍTICA EDITORIAL</w:t>
      </w:r>
    </w:p>
    <w:p w:rsidR="00D47CE9" w:rsidRDefault="00D47CE9" w:rsidP="00C30935">
      <w:pPr>
        <w:spacing w:after="266"/>
        <w:ind w:left="-15" w:firstLine="566"/>
        <w:jc w:val="both"/>
      </w:pPr>
      <w:r>
        <w:t xml:space="preserve">A Revista Ciência Agronômica destina-se à publicação de </w:t>
      </w:r>
      <w:r>
        <w:rPr>
          <w:rFonts w:eastAsia="Times New Roman"/>
          <w:b/>
        </w:rPr>
        <w:t xml:space="preserve">artigos científicos </w:t>
      </w:r>
      <w:r>
        <w:t>e</w:t>
      </w:r>
      <w:r>
        <w:rPr>
          <w:rFonts w:eastAsia="Times New Roman"/>
          <w:b/>
        </w:rPr>
        <w:t xml:space="preserve"> artigos técnicos que sejam originais e que não foram publicados ou submetidos a outro periódico, inerentes às áreas de Ciências Agrárias e Recursos Naturais. </w:t>
      </w:r>
      <w:r>
        <w:t xml:space="preserve">Os artigos poderão ser submetidos nos idiomas português, inglês ou espanhol. </w:t>
      </w:r>
      <w:r>
        <w:rPr>
          <w:rFonts w:eastAsia="Times New Roman"/>
          <w:b/>
        </w:rPr>
        <w:t>Se aprovado o artigo deverá ser traduzido e publicado em inglês</w:t>
      </w:r>
      <w:r>
        <w:t>. A RCA exige que a tradução seja feita por alguma empresa especializada. A contratação da empresa e tradução para o inglês é custeada pelos autores e quando devolverem a versão traduzida na fase de edição devem encaminhar também uma declaração da empresa responsável pelo serviço realizado. Abaixo sugerimos preferencialmente algumas empresas:</w:t>
      </w:r>
    </w:p>
    <w:p w:rsidR="00D47CE9" w:rsidRPr="00D47CE9" w:rsidRDefault="00D47CE9" w:rsidP="00C30935">
      <w:pPr>
        <w:numPr>
          <w:ilvl w:val="0"/>
          <w:numId w:val="2"/>
        </w:numPr>
        <w:spacing w:after="0"/>
        <w:ind w:hanging="145"/>
        <w:jc w:val="both"/>
        <w:rPr>
          <w:lang w:val="en-US"/>
        </w:rPr>
      </w:pPr>
      <w:r w:rsidRPr="00D47CE9">
        <w:rPr>
          <w:lang w:val="en-US"/>
        </w:rPr>
        <w:t>Academic-Editing-Services.com (</w:t>
      </w:r>
      <w:r w:rsidRPr="00D47CE9">
        <w:rPr>
          <w:color w:val="0000FF"/>
          <w:u w:val="single" w:color="0000FF"/>
          <w:lang w:val="en-US"/>
        </w:rPr>
        <w:t>http://www.academic-editing-services.com/</w:t>
      </w:r>
      <w:r w:rsidRPr="00D47CE9">
        <w:rPr>
          <w:lang w:val="en-US"/>
        </w:rPr>
        <w:t>)</w:t>
      </w:r>
    </w:p>
    <w:p w:rsidR="00D47CE9" w:rsidRPr="00D47CE9" w:rsidRDefault="00D47CE9" w:rsidP="00C30935">
      <w:pPr>
        <w:numPr>
          <w:ilvl w:val="0"/>
          <w:numId w:val="2"/>
        </w:numPr>
        <w:spacing w:after="0"/>
        <w:ind w:hanging="145"/>
        <w:jc w:val="both"/>
        <w:rPr>
          <w:lang w:val="en-US"/>
        </w:rPr>
      </w:pPr>
      <w:r w:rsidRPr="00D47CE9">
        <w:rPr>
          <w:lang w:val="en-US"/>
        </w:rPr>
        <w:t>American Journal Express (</w:t>
      </w:r>
      <w:r w:rsidRPr="00D47CE9">
        <w:rPr>
          <w:color w:val="0000FF"/>
          <w:u w:val="single" w:color="0000FF"/>
          <w:lang w:val="en-US"/>
        </w:rPr>
        <w:t>http://www.journalexperts.com/</w:t>
      </w:r>
      <w:r w:rsidRPr="00D47CE9">
        <w:rPr>
          <w:lang w:val="en-US"/>
        </w:rPr>
        <w:t>)</w:t>
      </w:r>
    </w:p>
    <w:p w:rsidR="00D47CE9" w:rsidRPr="00D47CE9" w:rsidRDefault="00D47CE9" w:rsidP="00C30935">
      <w:pPr>
        <w:numPr>
          <w:ilvl w:val="0"/>
          <w:numId w:val="2"/>
        </w:numPr>
        <w:spacing w:after="0"/>
        <w:ind w:hanging="145"/>
        <w:jc w:val="both"/>
        <w:rPr>
          <w:lang w:val="en-US"/>
        </w:rPr>
      </w:pPr>
      <w:r w:rsidRPr="00D47CE9">
        <w:rPr>
          <w:lang w:val="en-US"/>
        </w:rPr>
        <w:t>American Manuscript Editors (</w:t>
      </w:r>
      <w:r w:rsidRPr="00D47CE9">
        <w:rPr>
          <w:color w:val="0000FF"/>
          <w:u w:val="single" w:color="0000FF"/>
          <w:lang w:val="en-US"/>
        </w:rPr>
        <w:t>http://americanmanuscripteditors.com/</w:t>
      </w:r>
      <w:r w:rsidRPr="00D47CE9">
        <w:rPr>
          <w:lang w:val="en-US"/>
        </w:rPr>
        <w:t>)</w:t>
      </w:r>
    </w:p>
    <w:p w:rsidR="00D47CE9" w:rsidRPr="00D47CE9" w:rsidRDefault="00D47CE9" w:rsidP="00C30935">
      <w:pPr>
        <w:numPr>
          <w:ilvl w:val="0"/>
          <w:numId w:val="2"/>
        </w:numPr>
        <w:spacing w:after="3" w:line="248" w:lineRule="auto"/>
        <w:ind w:hanging="145"/>
        <w:jc w:val="both"/>
        <w:rPr>
          <w:lang w:val="en-US"/>
        </w:rPr>
      </w:pPr>
      <w:r w:rsidRPr="00D47CE9">
        <w:rPr>
          <w:lang w:val="en-US"/>
        </w:rPr>
        <w:t>Bioedit Scientific Editing (</w:t>
      </w:r>
      <w:r w:rsidRPr="00D47CE9">
        <w:rPr>
          <w:color w:val="0000FF"/>
          <w:u w:val="single" w:color="0000FF"/>
          <w:lang w:val="en-US"/>
        </w:rPr>
        <w:t>http://www.bioedit.co.uk/</w:t>
      </w:r>
      <w:r w:rsidRPr="00D47CE9">
        <w:rPr>
          <w:lang w:val="en-US"/>
        </w:rPr>
        <w:t>)</w:t>
      </w:r>
    </w:p>
    <w:p w:rsidR="00D47CE9" w:rsidRPr="00D47CE9" w:rsidRDefault="00D47CE9" w:rsidP="00C30935">
      <w:pPr>
        <w:numPr>
          <w:ilvl w:val="0"/>
          <w:numId w:val="2"/>
        </w:numPr>
        <w:spacing w:after="0"/>
        <w:ind w:hanging="145"/>
        <w:jc w:val="both"/>
        <w:rPr>
          <w:lang w:val="en-US"/>
        </w:rPr>
      </w:pPr>
      <w:r w:rsidRPr="00D47CE9">
        <w:rPr>
          <w:lang w:val="en-US"/>
        </w:rPr>
        <w:t>BioMed Proofreading (</w:t>
      </w:r>
      <w:r w:rsidRPr="00D47CE9">
        <w:rPr>
          <w:color w:val="0000FF"/>
          <w:u w:val="single" w:color="0000FF"/>
          <w:lang w:val="en-US"/>
        </w:rPr>
        <w:t>http://www.biomedproofreading.com</w:t>
      </w:r>
      <w:r w:rsidRPr="00D47CE9">
        <w:rPr>
          <w:lang w:val="en-US"/>
        </w:rPr>
        <w:t>)</w:t>
      </w:r>
    </w:p>
    <w:p w:rsidR="00D47CE9" w:rsidRPr="000F6DA0" w:rsidRDefault="00D47CE9" w:rsidP="00C30935">
      <w:pPr>
        <w:numPr>
          <w:ilvl w:val="0"/>
          <w:numId w:val="2"/>
        </w:numPr>
        <w:spacing w:after="0"/>
        <w:ind w:hanging="145"/>
        <w:jc w:val="both"/>
        <w:rPr>
          <w:lang w:val="es-ES"/>
        </w:rPr>
      </w:pPr>
      <w:r w:rsidRPr="000F6DA0">
        <w:rPr>
          <w:lang w:val="es-ES"/>
        </w:rPr>
        <w:t>Edanz (</w:t>
      </w:r>
      <w:r w:rsidRPr="000F6DA0">
        <w:rPr>
          <w:color w:val="0000FF"/>
          <w:u w:val="single" w:color="0000FF"/>
          <w:lang w:val="es-ES"/>
        </w:rPr>
        <w:t>http://www.edanzediting.com</w:t>
      </w:r>
      <w:r w:rsidRPr="000F6DA0">
        <w:rPr>
          <w:lang w:val="es-ES"/>
        </w:rPr>
        <w:t>)</w:t>
      </w:r>
    </w:p>
    <w:p w:rsidR="00D47CE9" w:rsidRDefault="00D47CE9" w:rsidP="00C30935">
      <w:pPr>
        <w:numPr>
          <w:ilvl w:val="0"/>
          <w:numId w:val="2"/>
        </w:numPr>
        <w:spacing w:after="0"/>
        <w:ind w:hanging="145"/>
        <w:jc w:val="both"/>
      </w:pPr>
      <w:r>
        <w:t>Editage (</w:t>
      </w:r>
      <w:r>
        <w:rPr>
          <w:color w:val="0000FF"/>
          <w:u w:val="single" w:color="0000FF"/>
        </w:rPr>
        <w:t>http://www.editage.com.br/</w:t>
      </w:r>
      <w:r>
        <w:t>)</w:t>
      </w:r>
    </w:p>
    <w:p w:rsidR="00D47CE9" w:rsidRPr="00D47CE9" w:rsidRDefault="00D47CE9" w:rsidP="00C30935">
      <w:pPr>
        <w:numPr>
          <w:ilvl w:val="0"/>
          <w:numId w:val="2"/>
        </w:numPr>
        <w:spacing w:after="0"/>
        <w:ind w:hanging="145"/>
        <w:jc w:val="both"/>
        <w:rPr>
          <w:lang w:val="en-US"/>
        </w:rPr>
      </w:pPr>
      <w:r w:rsidRPr="00D47CE9">
        <w:rPr>
          <w:lang w:val="en-US"/>
        </w:rPr>
        <w:t>Elsevier (</w:t>
      </w:r>
      <w:r w:rsidRPr="00D47CE9">
        <w:rPr>
          <w:color w:val="0000FF"/>
          <w:u w:val="single" w:color="0000FF"/>
          <w:lang w:val="en-US"/>
        </w:rPr>
        <w:t>http://webshop.elsevier.com/languageservices/</w:t>
      </w:r>
      <w:r w:rsidRPr="00D47CE9">
        <w:rPr>
          <w:lang w:val="en-US"/>
        </w:rPr>
        <w:t>)</w:t>
      </w:r>
    </w:p>
    <w:p w:rsidR="00D47CE9" w:rsidRPr="00D47CE9" w:rsidRDefault="00D47CE9" w:rsidP="00C30935">
      <w:pPr>
        <w:numPr>
          <w:ilvl w:val="0"/>
          <w:numId w:val="2"/>
        </w:numPr>
        <w:spacing w:after="0"/>
        <w:ind w:hanging="145"/>
        <w:jc w:val="both"/>
        <w:rPr>
          <w:lang w:val="en-US"/>
        </w:rPr>
      </w:pPr>
      <w:r w:rsidRPr="00D47CE9">
        <w:rPr>
          <w:lang w:val="en-US"/>
        </w:rPr>
        <w:t>Enago (</w:t>
      </w:r>
      <w:r w:rsidRPr="00D47CE9">
        <w:rPr>
          <w:color w:val="0000FF"/>
          <w:u w:val="single" w:color="0000FF"/>
          <w:lang w:val="en-US"/>
        </w:rPr>
        <w:t>http://www.enago.com.br/forjournal/</w:t>
      </w:r>
      <w:r w:rsidRPr="00D47CE9">
        <w:rPr>
          <w:lang w:val="en-US"/>
        </w:rPr>
        <w:t>)</w:t>
      </w:r>
    </w:p>
    <w:p w:rsidR="00D47CE9" w:rsidRPr="00D47CE9" w:rsidRDefault="00D47CE9" w:rsidP="00C30935">
      <w:pPr>
        <w:numPr>
          <w:ilvl w:val="0"/>
          <w:numId w:val="2"/>
        </w:numPr>
        <w:spacing w:after="0"/>
        <w:ind w:hanging="145"/>
        <w:jc w:val="both"/>
        <w:rPr>
          <w:lang w:val="en-US"/>
        </w:rPr>
      </w:pPr>
      <w:r w:rsidRPr="00D47CE9">
        <w:rPr>
          <w:lang w:val="en-US"/>
        </w:rPr>
        <w:t>JournalPrep (</w:t>
      </w:r>
      <w:r w:rsidRPr="00D47CE9">
        <w:rPr>
          <w:color w:val="0000FF"/>
          <w:u w:val="single" w:color="0000FF"/>
          <w:lang w:val="en-US"/>
        </w:rPr>
        <w:t>http://www.journalprep.com</w:t>
      </w:r>
      <w:r w:rsidRPr="00D47CE9">
        <w:rPr>
          <w:lang w:val="en-US"/>
        </w:rPr>
        <w:t>)</w:t>
      </w:r>
    </w:p>
    <w:p w:rsidR="00D47CE9" w:rsidRDefault="00D47CE9" w:rsidP="00C30935">
      <w:pPr>
        <w:numPr>
          <w:ilvl w:val="0"/>
          <w:numId w:val="2"/>
        </w:numPr>
        <w:spacing w:after="0"/>
        <w:ind w:hanging="145"/>
        <w:jc w:val="both"/>
      </w:pPr>
      <w:r>
        <w:t>Paulo Boschcov (</w:t>
      </w:r>
      <w:r>
        <w:rPr>
          <w:color w:val="0000FF"/>
          <w:u w:val="single" w:color="0000FF"/>
        </w:rPr>
        <w:t>paulo@bridgetextos.com.br</w:t>
      </w:r>
      <w:r>
        <w:t xml:space="preserve">, </w:t>
      </w:r>
      <w:r>
        <w:rPr>
          <w:color w:val="0000FF"/>
          <w:u w:val="single" w:color="0000FF"/>
        </w:rPr>
        <w:t>bridge.textecn@gmail.com</w:t>
      </w:r>
      <w:r>
        <w:t>)</w:t>
      </w:r>
    </w:p>
    <w:p w:rsidR="00D47CE9" w:rsidRPr="00D47CE9" w:rsidRDefault="00D47CE9" w:rsidP="00C30935">
      <w:pPr>
        <w:numPr>
          <w:ilvl w:val="0"/>
          <w:numId w:val="2"/>
        </w:numPr>
        <w:spacing w:after="0"/>
        <w:ind w:hanging="145"/>
        <w:jc w:val="both"/>
        <w:rPr>
          <w:lang w:val="en-US"/>
        </w:rPr>
      </w:pPr>
      <w:r w:rsidRPr="00D47CE9">
        <w:rPr>
          <w:lang w:val="en-US"/>
        </w:rPr>
        <w:t>Proof-Reading-Service.com (</w:t>
      </w:r>
      <w:r w:rsidRPr="00D47CE9">
        <w:rPr>
          <w:color w:val="0000FF"/>
          <w:u w:val="single" w:color="0000FF"/>
          <w:lang w:val="en-US"/>
        </w:rPr>
        <w:t>http://www.proof-reading-service.com/pt/</w:t>
      </w:r>
      <w:r w:rsidRPr="00D47CE9">
        <w:rPr>
          <w:lang w:val="en-US"/>
        </w:rPr>
        <w:t>)</w:t>
      </w:r>
    </w:p>
    <w:p w:rsidR="00D47CE9" w:rsidRDefault="00D47CE9" w:rsidP="00C30935">
      <w:pPr>
        <w:numPr>
          <w:ilvl w:val="0"/>
          <w:numId w:val="2"/>
        </w:numPr>
        <w:spacing w:after="0"/>
        <w:ind w:hanging="145"/>
        <w:jc w:val="both"/>
      </w:pPr>
      <w:r>
        <w:t>Publicase (</w:t>
      </w:r>
      <w:r>
        <w:rPr>
          <w:color w:val="0000FF"/>
          <w:u w:val="single" w:color="0000FF"/>
        </w:rPr>
        <w:t>http://www.publicase.com.br/formulario.asp</w:t>
      </w:r>
      <w:r>
        <w:t>)</w:t>
      </w:r>
    </w:p>
    <w:p w:rsidR="00D47CE9" w:rsidRPr="00D47CE9" w:rsidRDefault="00D47CE9" w:rsidP="00C30935">
      <w:pPr>
        <w:numPr>
          <w:ilvl w:val="0"/>
          <w:numId w:val="2"/>
        </w:numPr>
        <w:spacing w:after="0"/>
        <w:ind w:hanging="145"/>
        <w:jc w:val="both"/>
        <w:rPr>
          <w:lang w:val="en-US"/>
        </w:rPr>
      </w:pPr>
      <w:r w:rsidRPr="00D47CE9">
        <w:rPr>
          <w:lang w:val="en-US"/>
        </w:rPr>
        <w:t>Queen's English (</w:t>
      </w:r>
      <w:r w:rsidRPr="00D47CE9">
        <w:rPr>
          <w:color w:val="0000FF"/>
          <w:u w:val="single" w:color="0000FF"/>
          <w:lang w:val="en-US"/>
        </w:rPr>
        <w:t>http://www.queensenglishediting.com/</w:t>
      </w:r>
      <w:r w:rsidRPr="00D47CE9">
        <w:rPr>
          <w:lang w:val="en-US"/>
        </w:rPr>
        <w:t>)</w:t>
      </w:r>
    </w:p>
    <w:p w:rsidR="00D47CE9" w:rsidRDefault="00D47CE9" w:rsidP="00C30935">
      <w:pPr>
        <w:numPr>
          <w:ilvl w:val="0"/>
          <w:numId w:val="2"/>
        </w:numPr>
        <w:spacing w:after="263" w:line="248" w:lineRule="auto"/>
        <w:ind w:hanging="145"/>
        <w:jc w:val="both"/>
      </w:pPr>
      <w:r>
        <w:t>STTA - Serviços Técnicos de Tradução e Análises (</w:t>
      </w:r>
      <w:r>
        <w:rPr>
          <w:color w:val="0000FF"/>
          <w:u w:val="single" w:color="0000FF"/>
        </w:rPr>
        <w:t>http://stta.com.br/servicos.php</w:t>
      </w:r>
      <w:r>
        <w:t>)</w:t>
      </w:r>
    </w:p>
    <w:p w:rsidR="00D47CE9" w:rsidRDefault="00D47CE9" w:rsidP="00C30935">
      <w:pPr>
        <w:spacing w:after="277"/>
        <w:ind w:left="-15" w:firstLine="566"/>
        <w:jc w:val="both"/>
      </w:pPr>
      <w:r>
        <w:rPr>
          <w:color w:val="111111"/>
        </w:rPr>
        <w:t xml:space="preserve">Os trabalhos submetidos à RCA serão </w:t>
      </w:r>
      <w:r>
        <w:rPr>
          <w:rFonts w:eastAsia="Times New Roman"/>
          <w:b/>
          <w:color w:val="111111"/>
        </w:rPr>
        <w:t xml:space="preserve">avaliados preliminarmente pelo Comitê Editorial </w:t>
      </w:r>
      <w:r>
        <w:rPr>
          <w:color w:val="111111"/>
        </w:rPr>
        <w:t xml:space="preserve">e só então </w:t>
      </w:r>
      <w:r>
        <w:t xml:space="preserve">serão enviados para pelo menos dois (2) revisores da área e publicados, somente, se aprovados por eles e pelo Comitê Editorial. A publicação dos artigos será baseada na originalidade, qualidade e mérito científico, </w:t>
      </w:r>
      <w:r>
        <w:rPr>
          <w:rFonts w:eastAsia="Times New Roman"/>
          <w:b/>
        </w:rPr>
        <w:t>cabendo ao Comitê Editorial a decisão final do aceite</w:t>
      </w:r>
      <w:r>
        <w:t xml:space="preserve">. O sigilo de identidade dos autores e revisores será mantido durante todo o processo. A administração da revista tomará o cuidado para que os revisores de cada artigo sejam, obrigatoriamente, de instituições distintas daquela de origem dos autores. </w:t>
      </w:r>
      <w:r>
        <w:rPr>
          <w:rFonts w:eastAsia="Times New Roman"/>
          <w:b/>
        </w:rPr>
        <w:t>O artigo que apresentar mais de cinco autores não terá a sua submissão aceita pela Revista Ciência Agronômica, salvo algumas condições especiais (ver Autores)</w:t>
      </w:r>
      <w:r>
        <w:t xml:space="preserve">. Não serão permitidas mudanças nos nomes de autores </w:t>
      </w:r>
      <w:r>
        <w:rPr>
          <w:rFonts w:eastAsia="Times New Roman"/>
          <w:i/>
        </w:rPr>
        <w:t>a posteriori</w:t>
      </w:r>
      <w:r>
        <w:t>.</w:t>
      </w:r>
    </w:p>
    <w:p w:rsidR="00D47CE9" w:rsidRDefault="00D47CE9" w:rsidP="00C30935">
      <w:pPr>
        <w:pStyle w:val="Ttulo1"/>
        <w:keepLines/>
        <w:spacing w:before="0" w:after="10" w:line="249" w:lineRule="auto"/>
        <w:ind w:left="229" w:hanging="244"/>
        <w:jc w:val="both"/>
      </w:pPr>
      <w:r>
        <w:lastRenderedPageBreak/>
        <w:t>Custo de publicação</w:t>
      </w:r>
    </w:p>
    <w:p w:rsidR="00D47CE9" w:rsidRDefault="00D47CE9" w:rsidP="00C30935">
      <w:pPr>
        <w:spacing w:after="273"/>
        <w:ind w:left="-15" w:firstLine="566"/>
        <w:jc w:val="both"/>
      </w:pPr>
      <w:r>
        <w:t xml:space="preserve">O custo é de </w:t>
      </w:r>
      <w:r>
        <w:rPr>
          <w:rFonts w:eastAsia="Times New Roman"/>
          <w:b/>
        </w:rPr>
        <w:t>R$ 45,00 (quarenta e cinco reais) por página editorada</w:t>
      </w:r>
      <w:r>
        <w:t xml:space="preserve"> no formato final. No ato da submissão é </w:t>
      </w:r>
      <w:r>
        <w:rPr>
          <w:rFonts w:eastAsia="Times New Roman"/>
          <w:b/>
        </w:rPr>
        <w:t>requerido um depósito de R$ 100,00 (cem reais) não reembolsáveis</w:t>
      </w:r>
      <w:r>
        <w:t>. Se o trabalho for rejeitado na avaliação prévia do Comitê Editorial, a taxa paga não poderá ser reutilizada para outras submissões dos autores. O comprovante de depósito ou transferência deve ser enviado ao e-mail da RCA (</w:t>
      </w:r>
      <w:r>
        <w:rPr>
          <w:color w:val="0000FF"/>
          <w:u w:val="single" w:color="0000FF"/>
        </w:rPr>
        <w:t>ccarev@ufc.br</w:t>
      </w:r>
      <w:r>
        <w:t>). Os depósitos ou transferências deverão ser efetuados em nome de:</w:t>
      </w:r>
    </w:p>
    <w:p w:rsidR="00D47CE9" w:rsidRDefault="00D47CE9" w:rsidP="00C30935">
      <w:pPr>
        <w:spacing w:after="290" w:line="232" w:lineRule="auto"/>
        <w:ind w:left="1157" w:right="1153"/>
        <w:jc w:val="both"/>
      </w:pPr>
      <w:r>
        <w:rPr>
          <w:rFonts w:eastAsia="Times New Roman"/>
          <w:b/>
        </w:rPr>
        <w:t xml:space="preserve">CETREDE CIENCIA AGRONOMIC </w:t>
      </w:r>
      <w:r>
        <w:t xml:space="preserve">Banco do Brasil: Agência bancária: </w:t>
      </w:r>
      <w:r>
        <w:rPr>
          <w:rFonts w:eastAsia="Times New Roman"/>
          <w:b/>
        </w:rPr>
        <w:t>1702-7</w:t>
      </w:r>
      <w:r>
        <w:t xml:space="preserve"> - Conta corrente: </w:t>
      </w:r>
      <w:r>
        <w:rPr>
          <w:rFonts w:eastAsia="Times New Roman"/>
          <w:b/>
        </w:rPr>
        <w:t>46.375-2</w:t>
      </w:r>
    </w:p>
    <w:p w:rsidR="00D47CE9" w:rsidRDefault="00D47CE9" w:rsidP="00C30935">
      <w:pPr>
        <w:ind w:left="-15" w:firstLine="566"/>
        <w:jc w:val="both"/>
      </w:pPr>
      <w:r>
        <w:t>As opiniões emitidas nos trabalhos são de exclusiva responsabilidade de seus autores. A Revista Ciência Agronômica reserva-se o direito de adaptar os originais visando manter a uniformidade da publicação. A RCA não mais fornece separatas ou exemplares aos autores. A distribuição na forma impressa da RCA é de responsabilidade da Biblioteca de Ciência e Tecnologia da Universidade Federal do Ceará sendo realizada por meio de permuta com bibliotecas brasileiras e do exterior. Na submissão online é requerido: 1. A concordância com a declaração de responsabilidade de direitos autorais;</w:t>
      </w:r>
    </w:p>
    <w:p w:rsidR="00D47CE9" w:rsidRDefault="00D47CE9" w:rsidP="00C30935">
      <w:pPr>
        <w:spacing w:after="271"/>
        <w:ind w:left="-5" w:right="417"/>
        <w:jc w:val="both"/>
      </w:pPr>
      <w:r>
        <w:t xml:space="preserve">2. Que o autor que fizer a submissão do trabalho </w:t>
      </w:r>
      <w:r>
        <w:rPr>
          <w:rFonts w:eastAsia="Times New Roman"/>
          <w:b/>
        </w:rPr>
        <w:t>cadastre todos os autores no sistema</w:t>
      </w:r>
      <w:r>
        <w:t>; 3. Identificação do autor de correspondência com endereço completo.</w:t>
      </w:r>
    </w:p>
    <w:p w:rsidR="00D47CE9" w:rsidRDefault="00D47CE9" w:rsidP="00C30935">
      <w:pPr>
        <w:pStyle w:val="Ttulo1"/>
        <w:keepLines/>
        <w:spacing w:before="0" w:after="10" w:line="249" w:lineRule="auto"/>
        <w:ind w:left="227" w:hanging="242"/>
        <w:jc w:val="both"/>
      </w:pPr>
      <w:r>
        <w:t>Formatação do Artigo</w:t>
      </w:r>
    </w:p>
    <w:p w:rsidR="00D47CE9" w:rsidRDefault="00D47CE9" w:rsidP="00C30935">
      <w:pPr>
        <w:spacing w:after="267"/>
        <w:ind w:left="-5"/>
        <w:jc w:val="both"/>
      </w:pPr>
      <w:r>
        <w:rPr>
          <w:rFonts w:eastAsia="Times New Roman"/>
          <w:b/>
        </w:rPr>
        <w:t>DIGITAÇÃO:</w:t>
      </w:r>
      <w:r>
        <w:t xml:space="preserve"> no máximo 20 páginas digitadas em espaço duplo (exceto Tabelas), fonte Times New Roman, normal, tamanho 12, recuo do parágrafo por 1 cm. Todas as margens deverão ter 2,5 cm. As linhas devem ser numeradas de forma contínua.</w:t>
      </w:r>
    </w:p>
    <w:p w:rsidR="00D47CE9" w:rsidRDefault="00D47CE9" w:rsidP="00C30935">
      <w:pPr>
        <w:spacing w:after="266"/>
        <w:ind w:left="-5"/>
        <w:jc w:val="both"/>
      </w:pPr>
      <w:r>
        <w:rPr>
          <w:rFonts w:eastAsia="Times New Roman"/>
          <w:b/>
        </w:rPr>
        <w:t xml:space="preserve">ESTRUTURA: </w:t>
      </w:r>
      <w:r>
        <w:t>o trabalho deverá obedecer à seguinte ordem: título, título em inglês, resumo</w:t>
      </w:r>
      <w:r w:rsidR="008B4D0A">
        <w:t>, palavras-chave, abstract, key</w:t>
      </w:r>
      <w:r>
        <w:t>words, introdução, material e métodos, resultados e discussão, conclusões, agradecimentos (opcional) e referências.</w:t>
      </w:r>
    </w:p>
    <w:p w:rsidR="00D47CE9" w:rsidRDefault="00D47CE9" w:rsidP="00C30935">
      <w:pPr>
        <w:spacing w:after="271"/>
        <w:ind w:left="-5"/>
        <w:jc w:val="both"/>
      </w:pPr>
      <w:r>
        <w:rPr>
          <w:rFonts w:eastAsia="Times New Roman"/>
          <w:b/>
        </w:rPr>
        <w:t>TÍTULO:</w:t>
      </w:r>
      <w:r>
        <w:t xml:space="preserve"> deve ser escrito com apenas a inicial maiúscula, em negrito e centralizado na página com no </w:t>
      </w:r>
      <w:r>
        <w:rPr>
          <w:rFonts w:eastAsia="Times New Roman"/>
          <w:b/>
        </w:rPr>
        <w:t>máximo 15 palavras</w:t>
      </w:r>
      <w:r>
        <w:t xml:space="preserve">. Como chamada de rodapé numérica, extraída do título, devem constar informações sobre a </w:t>
      </w:r>
      <w:r>
        <w:rPr>
          <w:rFonts w:eastAsia="Times New Roman"/>
          <w:b/>
        </w:rPr>
        <w:t>natureza do trabalho</w:t>
      </w:r>
      <w:r>
        <w:t xml:space="preserve"> (se extraído de tese/dissertação, se pesquisa financiada,...) e referências às instituições colaboradoras. Os subtítulos: Introdução, Material e métodos, Resultados e discussão, Conclusões, Agradecimentos e Referências devem ser escritos em caixa alta, em negrito e centralizados.</w:t>
      </w:r>
    </w:p>
    <w:p w:rsidR="00D47CE9" w:rsidRDefault="00D47CE9" w:rsidP="00C30935">
      <w:pPr>
        <w:spacing w:after="266"/>
        <w:ind w:left="-5"/>
        <w:jc w:val="both"/>
      </w:pPr>
      <w:r>
        <w:rPr>
          <w:rFonts w:eastAsia="Times New Roman"/>
          <w:b/>
        </w:rPr>
        <w:t>AUTORES: na primeira versão do artigo submetido, os nomes dos autores e a nota de rodapé deverão ser omitidos</w:t>
      </w:r>
      <w:r>
        <w:t xml:space="preserve">. Somente na versão final o artigo deverá conter o nome de todos os autores com identificação em nota de rodapé. Os nomes completos (sem abreviaturas) deverão vir abaixo do título, somente com a primeira letra maiúscula, um após outro, separados por vírgula e centralizados na linha. Como nota de rodapé na primeira página, deve-se indicar, de cada autor, afiliação completa (departamento, centro, instituição, cidade, estado e país), endereço eletrônico e endereço completo do autor correspondente. O autor de correspondência deve ser identificado por um "*". </w:t>
      </w:r>
      <w:r>
        <w:rPr>
          <w:rFonts w:eastAsia="Times New Roman"/>
          <w:b/>
        </w:rPr>
        <w:t xml:space="preserve">Só serão aceitos artigos com </w:t>
      </w:r>
      <w:r>
        <w:rPr>
          <w:rFonts w:eastAsia="Times New Roman"/>
          <w:b/>
        </w:rPr>
        <w:lastRenderedPageBreak/>
        <w:t>mais de seis autores, quando, comprovadamente, a pesquisa tenha sido desenvolvida em regiões distintas (diferentes)</w:t>
      </w:r>
      <w:r>
        <w:t>.</w:t>
      </w:r>
    </w:p>
    <w:p w:rsidR="00D47CE9" w:rsidRDefault="00D47CE9" w:rsidP="00C30935">
      <w:pPr>
        <w:spacing w:after="273"/>
        <w:ind w:left="-5"/>
        <w:jc w:val="both"/>
      </w:pPr>
      <w:r>
        <w:rPr>
          <w:rFonts w:eastAsia="Times New Roman"/>
          <w:b/>
        </w:rPr>
        <w:t>RESUMO e ABSTRACT:</w:t>
      </w:r>
      <w:r>
        <w:t xml:space="preserve"> devem começar com estas palavras, na margem esquerda, em caixa alta e em negrito, contendo no máximo </w:t>
      </w:r>
      <w:r>
        <w:rPr>
          <w:rFonts w:eastAsia="Times New Roman"/>
          <w:b/>
        </w:rPr>
        <w:t>250 palavras</w:t>
      </w:r>
      <w:r>
        <w:t>.</w:t>
      </w:r>
    </w:p>
    <w:p w:rsidR="00D47CE9" w:rsidRDefault="00D47CE9" w:rsidP="00C30935">
      <w:pPr>
        <w:ind w:left="-5"/>
        <w:jc w:val="both"/>
      </w:pPr>
      <w:r>
        <w:rPr>
          <w:rFonts w:eastAsia="Times New Roman"/>
          <w:b/>
        </w:rPr>
        <w:t>PALAVRAS-CHAVE e KEY WORDS:</w:t>
      </w:r>
      <w:r>
        <w:t xml:space="preserve"> devem conter entre três e cinco termos para indexação. Os termos usados não devem constar no título. Cada </w:t>
      </w:r>
      <w:r w:rsidR="008B4D0A">
        <w:rPr>
          <w:rFonts w:eastAsia="Times New Roman"/>
          <w:b/>
        </w:rPr>
        <w:t>palavra-chave e key</w:t>
      </w:r>
      <w:r>
        <w:rPr>
          <w:rFonts w:eastAsia="Times New Roman"/>
          <w:b/>
        </w:rPr>
        <w:t xml:space="preserve">word </w:t>
      </w:r>
      <w:r>
        <w:t>deve iniciar com letra maiúscula e ser seguida de ponto.</w:t>
      </w:r>
    </w:p>
    <w:p w:rsidR="00D47CE9" w:rsidRDefault="00D47CE9" w:rsidP="00C30935">
      <w:pPr>
        <w:spacing w:after="267"/>
        <w:ind w:left="-5"/>
        <w:jc w:val="both"/>
      </w:pPr>
      <w:r>
        <w:rPr>
          <w:rFonts w:eastAsia="Times New Roman"/>
          <w:b/>
        </w:rPr>
        <w:t>INTRODUÇÃO:</w:t>
      </w:r>
      <w:r>
        <w:t xml:space="preserve"> deve ser compacta e objetiva contendo citações atuais que apresentem relação com o assunto abordado na pesquisa. As citações presentes na introdução devem ser empregadas para fundamentar a discussão dos resultados, criando, assim, uma contextualização entre o estudo da arte e a discussão dos resultados. Não deve conter mais de </w:t>
      </w:r>
      <w:r>
        <w:rPr>
          <w:rFonts w:eastAsia="Times New Roman"/>
          <w:b/>
        </w:rPr>
        <w:t>550 palavras</w:t>
      </w:r>
      <w:r>
        <w:t>.</w:t>
      </w:r>
    </w:p>
    <w:p w:rsidR="00D47CE9" w:rsidRDefault="00D47CE9" w:rsidP="00C30935">
      <w:pPr>
        <w:ind w:left="-5"/>
        <w:jc w:val="both"/>
      </w:pPr>
      <w:r>
        <w:rPr>
          <w:rFonts w:eastAsia="Times New Roman"/>
          <w:b/>
        </w:rPr>
        <w:t>CITAÇÃO DE AUTORES NO TEXTO:</w:t>
      </w:r>
      <w:r>
        <w:t xml:space="preserve"> a NBR 10520/2002 estabelece as condições exigidas para a apresentação de citações em documentos técnico-científicos e acadêmicos. Nas citações, quando o sobrenome do autor, a instituição responsável ou título estiver incluído na sentença, este se apresenta em letras maiúsculas/minúsculas, e quando estiverem entre parênteses, em letras maiúsculas.</w:t>
      </w:r>
    </w:p>
    <w:p w:rsidR="00D47CE9" w:rsidRDefault="00D47CE9" w:rsidP="00C30935">
      <w:pPr>
        <w:ind w:left="-5"/>
        <w:jc w:val="both"/>
      </w:pPr>
      <w:r>
        <w:rPr>
          <w:rFonts w:eastAsia="Times New Roman"/>
          <w:b/>
        </w:rPr>
        <w:t>Ex:</w:t>
      </w:r>
      <w:r>
        <w:t xml:space="preserve"> Santos (2002) ou (SANTOS, 2002); com dois autores ou três autores, usar Pereira e</w:t>
      </w:r>
    </w:p>
    <w:p w:rsidR="00D47CE9" w:rsidRDefault="00D47CE9" w:rsidP="00C30935">
      <w:pPr>
        <w:spacing w:after="266"/>
        <w:ind w:left="-5"/>
        <w:jc w:val="both"/>
      </w:pPr>
      <w:r>
        <w:t xml:space="preserve">Freitas (2002) ou (PEREIRA; FREITAS, 2002) e Cruz, Perota e Mendes (2000) ou (CRUZ; PEROTA; MENDES, 2000); com mais de três autores, usar Xavier </w:t>
      </w:r>
      <w:r>
        <w:rPr>
          <w:rFonts w:eastAsia="Times New Roman"/>
          <w:i/>
        </w:rPr>
        <w:t>et al</w:t>
      </w:r>
      <w:r>
        <w:t xml:space="preserve">. (1997) ou (XAVIER </w:t>
      </w:r>
      <w:r>
        <w:rPr>
          <w:rFonts w:eastAsia="Times New Roman"/>
          <w:i/>
        </w:rPr>
        <w:t>et al</w:t>
      </w:r>
      <w:r>
        <w:t>., 1997).</w:t>
      </w:r>
    </w:p>
    <w:p w:rsidR="00D47CE9" w:rsidRDefault="00D47CE9" w:rsidP="008B4D0A">
      <w:pPr>
        <w:ind w:left="-5"/>
        <w:jc w:val="both"/>
      </w:pPr>
      <w:r>
        <w:rPr>
          <w:rFonts w:eastAsia="Times New Roman"/>
          <w:b/>
        </w:rPr>
        <w:t xml:space="preserve">VÁRIOS AUTORES CITADOS SIMULTANEAMENTE: </w:t>
      </w:r>
      <w:r>
        <w:t>havendo citações indiretas de diversos documentos de vários autores mencionados simultaneamente e que expressam a mesma id</w:t>
      </w:r>
      <w:r w:rsidR="008B4D0A">
        <w:t>e</w:t>
      </w:r>
      <w:r>
        <w:t xml:space="preserve">ia, separam-se os autores por ponto e vírgula, </w:t>
      </w:r>
      <w:r>
        <w:rPr>
          <w:rFonts w:eastAsia="Times New Roman"/>
          <w:b/>
        </w:rPr>
        <w:t>em ordem alfabética</w:t>
      </w:r>
      <w:r>
        <w:t>, independente do ano de publicação.</w:t>
      </w:r>
    </w:p>
    <w:p w:rsidR="00D47CE9" w:rsidRDefault="00D47CE9" w:rsidP="00C30935">
      <w:pPr>
        <w:spacing w:after="270"/>
        <w:ind w:left="-5"/>
        <w:jc w:val="both"/>
      </w:pPr>
      <w:r>
        <w:rPr>
          <w:rFonts w:eastAsia="Times New Roman"/>
          <w:b/>
        </w:rPr>
        <w:t xml:space="preserve">Ex: </w:t>
      </w:r>
      <w:r>
        <w:t>(FONSECA, 2007; PAIVA, 2005; SILVA, 2006).</w:t>
      </w:r>
    </w:p>
    <w:p w:rsidR="00D47CE9" w:rsidRDefault="00D47CE9" w:rsidP="00C30935">
      <w:pPr>
        <w:ind w:left="-5"/>
        <w:jc w:val="both"/>
      </w:pPr>
      <w:r>
        <w:rPr>
          <w:rFonts w:eastAsia="Times New Roman"/>
          <w:b/>
        </w:rPr>
        <w:t xml:space="preserve">SIGLAS: </w:t>
      </w:r>
      <w:r>
        <w:t>quando aparecem pela primeira vez no texto, deve-se colocar o nome por extenso, seguido da sigla entre parênteses.</w:t>
      </w:r>
    </w:p>
    <w:p w:rsidR="00D47CE9" w:rsidRDefault="00D47CE9" w:rsidP="00C30935">
      <w:pPr>
        <w:spacing w:after="263"/>
        <w:ind w:left="-5"/>
        <w:jc w:val="both"/>
      </w:pPr>
      <w:r>
        <w:rPr>
          <w:rFonts w:eastAsia="Times New Roman"/>
          <w:b/>
        </w:rPr>
        <w:t>Ex:</w:t>
      </w:r>
      <w:r>
        <w:t xml:space="preserve"> De acordo com a Associação Brasileira de Normas Técnicas (ABNT) [...].</w:t>
      </w:r>
    </w:p>
    <w:p w:rsidR="00D47CE9" w:rsidRDefault="00D47CE9" w:rsidP="00C30935">
      <w:pPr>
        <w:spacing w:after="267"/>
        <w:ind w:left="-5"/>
        <w:jc w:val="both"/>
      </w:pPr>
      <w:r>
        <w:rPr>
          <w:rFonts w:eastAsia="Times New Roman"/>
          <w:b/>
        </w:rPr>
        <w:t>TABELAS:</w:t>
      </w:r>
      <w:r>
        <w:t xml:space="preserve"> devem ser numeradas consecutivamente com algarismos arábicos na parte superior. Não usar linhas verticais. As linhas horizontais devem ser usadas para separar o título do cabeçalho e este do conteúdo, além de uma no final da tabela. Cada dado deve ocupar uma célula distinta. Usar espaço simples. Não usar negrito ou letra maiúscula no cabeçalho.</w:t>
      </w:r>
    </w:p>
    <w:p w:rsidR="00D47CE9" w:rsidRDefault="00D47CE9" w:rsidP="00C30935">
      <w:pPr>
        <w:spacing w:after="266"/>
        <w:ind w:left="-5"/>
        <w:jc w:val="both"/>
      </w:pPr>
      <w:r>
        <w:rPr>
          <w:rFonts w:eastAsia="Times New Roman"/>
          <w:b/>
        </w:rPr>
        <w:t>FIGURAS:</w:t>
      </w:r>
      <w:r>
        <w:t xml:space="preserve"> gráficos, fotografias ou desenhos levarão a denominação geral de </w:t>
      </w:r>
      <w:r>
        <w:rPr>
          <w:rFonts w:eastAsia="Times New Roman"/>
          <w:b/>
        </w:rPr>
        <w:t xml:space="preserve">Figura </w:t>
      </w:r>
      <w:r>
        <w:t xml:space="preserve">sucedida de numeração arábica crescente e legenda na parte superior. Para a preparação dos gráficos deve-se utilizar “softwares” compatíveis com “Microsoft Windows”. As figuras </w:t>
      </w:r>
      <w:r>
        <w:lastRenderedPageBreak/>
        <w:t xml:space="preserve">devem apresentar 8,2 cm de largura, não sendo superior a 17 cm. A fonte Times New Roman, corpo 10 e não usar negrito na identificação dos eixos. A Revista Ciência Agronômica reserva-se ao direito de não aceitar tabelas e/ou figuras com o papel na forma “paisagem” ou que apresentem mais de 17 cm de largura. </w:t>
      </w:r>
      <w:r>
        <w:rPr>
          <w:rFonts w:eastAsia="Times New Roman"/>
          <w:b/>
        </w:rPr>
        <w:t xml:space="preserve">Tabelas e Figuras devem ser inseridas logo após a sua primeira citação. Obs.: </w:t>
      </w:r>
      <w:r>
        <w:t>As figuras devem ser também enviadas em arquivos separados e com RESOLUÇÃO de no mínimo 500 dpi através do campo “Transferir Documentos Suplementares”.</w:t>
      </w:r>
    </w:p>
    <w:p w:rsidR="00D47CE9" w:rsidRDefault="00D47CE9" w:rsidP="00C30935">
      <w:pPr>
        <w:ind w:left="-5"/>
        <w:jc w:val="both"/>
      </w:pPr>
      <w:r>
        <w:rPr>
          <w:rFonts w:eastAsia="Times New Roman"/>
          <w:b/>
        </w:rPr>
        <w:t>EQUAÇÕES:</w:t>
      </w:r>
      <w:r>
        <w:t xml:space="preserve"> devem ser digitadas usando o editor de equações do Word, com a fonte Times New Roman. As equações devem receber uma numeração arábica crescente. O padrão de tamanho deverá ser:</w:t>
      </w:r>
    </w:p>
    <w:p w:rsidR="00D47CE9" w:rsidRDefault="00D47CE9" w:rsidP="00C30935">
      <w:pPr>
        <w:ind w:left="-5"/>
        <w:jc w:val="both"/>
      </w:pPr>
      <w:r>
        <w:t>Inteiro = 12 pt</w:t>
      </w:r>
    </w:p>
    <w:p w:rsidR="00D47CE9" w:rsidRDefault="00D47CE9" w:rsidP="00C30935">
      <w:pPr>
        <w:ind w:left="-5"/>
        <w:jc w:val="both"/>
      </w:pPr>
      <w:r>
        <w:t>Subscrito/sobrescrito = 8 pt</w:t>
      </w:r>
    </w:p>
    <w:p w:rsidR="00D47CE9" w:rsidRDefault="00D47CE9" w:rsidP="00C30935">
      <w:pPr>
        <w:ind w:left="-5"/>
        <w:jc w:val="both"/>
      </w:pPr>
      <w:r>
        <w:t>Sub-subscrito/sobrescrito = 5 pt</w:t>
      </w:r>
    </w:p>
    <w:p w:rsidR="00D47CE9" w:rsidRDefault="00D47CE9" w:rsidP="00C30935">
      <w:pPr>
        <w:ind w:left="-5"/>
        <w:jc w:val="both"/>
      </w:pPr>
      <w:r>
        <w:t>Símbolo = 18 pt</w:t>
      </w:r>
    </w:p>
    <w:p w:rsidR="00D47CE9" w:rsidRDefault="00D47CE9" w:rsidP="00C30935">
      <w:pPr>
        <w:spacing w:after="268"/>
        <w:ind w:left="-5"/>
        <w:jc w:val="both"/>
      </w:pPr>
      <w:r>
        <w:t>Subsímbolo = 14 pt</w:t>
      </w:r>
    </w:p>
    <w:p w:rsidR="00D47CE9" w:rsidRDefault="00D47CE9" w:rsidP="00C30935">
      <w:pPr>
        <w:spacing w:after="10" w:line="249" w:lineRule="auto"/>
        <w:ind w:left="-5"/>
        <w:jc w:val="both"/>
      </w:pPr>
      <w:r>
        <w:rPr>
          <w:rFonts w:eastAsia="Times New Roman"/>
          <w:b/>
        </w:rPr>
        <w:t>ESTATÍSTICA:</w:t>
      </w:r>
    </w:p>
    <w:p w:rsidR="00D47CE9" w:rsidRDefault="00D47CE9" w:rsidP="00C30935">
      <w:pPr>
        <w:numPr>
          <w:ilvl w:val="0"/>
          <w:numId w:val="3"/>
        </w:numPr>
        <w:spacing w:after="3" w:line="248" w:lineRule="auto"/>
        <w:ind w:right="4" w:hanging="244"/>
        <w:jc w:val="both"/>
      </w:pPr>
      <w:r>
        <w:t>Caso tenha realizado análise de variância, apresentar o "F" e a sua significância;</w:t>
      </w:r>
    </w:p>
    <w:p w:rsidR="00D47CE9" w:rsidRDefault="00D47CE9" w:rsidP="00C30935">
      <w:pPr>
        <w:numPr>
          <w:ilvl w:val="0"/>
          <w:numId w:val="3"/>
        </w:numPr>
        <w:spacing w:after="3" w:line="248" w:lineRule="auto"/>
        <w:ind w:right="4" w:hanging="244"/>
        <w:jc w:val="both"/>
      </w:pPr>
      <w:r>
        <w:t>Dados quantitativos devem ser tratados pela técnica de análise de regressão;</w:t>
      </w:r>
    </w:p>
    <w:p w:rsidR="00D47CE9" w:rsidRDefault="00D47CE9" w:rsidP="00C30935">
      <w:pPr>
        <w:numPr>
          <w:ilvl w:val="0"/>
          <w:numId w:val="3"/>
        </w:numPr>
        <w:spacing w:after="3" w:line="248" w:lineRule="auto"/>
        <w:ind w:right="4" w:hanging="244"/>
        <w:jc w:val="both"/>
      </w:pPr>
      <w:r>
        <w:t>Apresentar a significância dos parâmetros da equação de regressão;</w:t>
      </w:r>
    </w:p>
    <w:p w:rsidR="00D47CE9" w:rsidRDefault="00D47CE9" w:rsidP="00C30935">
      <w:pPr>
        <w:numPr>
          <w:ilvl w:val="0"/>
          <w:numId w:val="3"/>
        </w:numPr>
        <w:spacing w:after="3" w:line="248" w:lineRule="auto"/>
        <w:ind w:right="4" w:hanging="244"/>
        <w:jc w:val="both"/>
      </w:pPr>
      <w:r>
        <w:t>Dependendo do estudo (ex: função de produção), analisar os sinais associados aos</w:t>
      </w:r>
      <w:r w:rsidR="008B4D0A">
        <w:t xml:space="preserve"> </w:t>
      </w:r>
      <w:r>
        <w:t>parâmetros.</w:t>
      </w:r>
    </w:p>
    <w:p w:rsidR="00D47CE9" w:rsidRDefault="00D47CE9" w:rsidP="00C30935">
      <w:pPr>
        <w:numPr>
          <w:ilvl w:val="0"/>
          <w:numId w:val="3"/>
        </w:numPr>
        <w:spacing w:after="3" w:line="248" w:lineRule="auto"/>
        <w:ind w:right="4" w:hanging="244"/>
        <w:jc w:val="both"/>
      </w:pPr>
      <w:r>
        <w:t>É requerido, no mínimo, quatro pontos para se efetuar o ajuste das equações de regressão.</w:t>
      </w:r>
    </w:p>
    <w:p w:rsidR="00D47CE9" w:rsidRDefault="00D47CE9" w:rsidP="00C30935">
      <w:pPr>
        <w:numPr>
          <w:ilvl w:val="0"/>
          <w:numId w:val="3"/>
        </w:numPr>
        <w:spacing w:after="3" w:line="248" w:lineRule="auto"/>
        <w:ind w:right="4" w:hanging="244"/>
        <w:jc w:val="both"/>
      </w:pPr>
      <w:r>
        <w:t>Os coeficientes do modelo de regressão devem apresentar o seguinte formato:</w:t>
      </w:r>
    </w:p>
    <w:p w:rsidR="00D47CE9" w:rsidRDefault="00D47CE9" w:rsidP="00C30935">
      <w:pPr>
        <w:ind w:left="-5"/>
        <w:jc w:val="both"/>
      </w:pPr>
      <w:r>
        <w:t xml:space="preserve">   y = a +bx +cx</w:t>
      </w:r>
      <w:r>
        <w:rPr>
          <w:vertAlign w:val="superscript"/>
        </w:rPr>
        <w:t>2</w:t>
      </w:r>
      <w:r>
        <w:t>+...;</w:t>
      </w:r>
    </w:p>
    <w:p w:rsidR="00D47CE9" w:rsidRDefault="00D47CE9" w:rsidP="00C30935">
      <w:pPr>
        <w:spacing w:after="263"/>
        <w:ind w:left="-5"/>
        <w:jc w:val="both"/>
      </w:pPr>
      <w:r>
        <w:t>7. O Grau de Liberdade do resíduo deve ser superior a 12.</w:t>
      </w:r>
    </w:p>
    <w:p w:rsidR="00D47CE9" w:rsidRDefault="00D47CE9" w:rsidP="00C30935">
      <w:pPr>
        <w:spacing w:after="270"/>
        <w:ind w:left="-5"/>
        <w:jc w:val="both"/>
      </w:pPr>
      <w:r>
        <w:rPr>
          <w:rFonts w:eastAsia="Times New Roman"/>
          <w:b/>
        </w:rPr>
        <w:t xml:space="preserve">CONCLUSÕES: </w:t>
      </w:r>
      <w:r>
        <w:t>quando escritas em mais de um parágrafo devem ser numeradas.</w:t>
      </w:r>
    </w:p>
    <w:p w:rsidR="00D47CE9" w:rsidRDefault="00D47CE9" w:rsidP="00C30935">
      <w:pPr>
        <w:tabs>
          <w:tab w:val="right" w:pos="9072"/>
        </w:tabs>
        <w:ind w:left="-15"/>
        <w:jc w:val="both"/>
      </w:pPr>
      <w:r>
        <w:rPr>
          <w:rFonts w:eastAsia="Times New Roman"/>
          <w:b/>
        </w:rPr>
        <w:t>AGRADECIMENTOS:</w:t>
      </w:r>
      <w:r>
        <w:rPr>
          <w:rFonts w:eastAsia="Times New Roman"/>
          <w:b/>
        </w:rPr>
        <w:tab/>
      </w:r>
      <w:r>
        <w:t>logo após as conclusões poderão vir os agradecimentos</w:t>
      </w:r>
    </w:p>
    <w:p w:rsidR="00D47CE9" w:rsidRDefault="00D47CE9" w:rsidP="00C30935">
      <w:pPr>
        <w:spacing w:after="266"/>
        <w:ind w:left="-5"/>
        <w:jc w:val="both"/>
      </w:pPr>
      <w:r>
        <w:t>direcionados a pessoas ou instituições, em estilo sóbrio e claro, indicando as razões pelas quais os faz.</w:t>
      </w:r>
    </w:p>
    <w:p w:rsidR="00D47CE9" w:rsidRDefault="00D47CE9" w:rsidP="00C30935">
      <w:pPr>
        <w:ind w:left="-5"/>
        <w:jc w:val="both"/>
      </w:pPr>
      <w:r>
        <w:rPr>
          <w:rFonts w:eastAsia="Times New Roman"/>
          <w:b/>
        </w:rPr>
        <w:t xml:space="preserve">REFERÊNCIAS: </w:t>
      </w:r>
      <w:r>
        <w:t xml:space="preserve">são elaboradas conforme a ABNT NBR 6023/2002. Inicia-se com a palavra REFERÊNCIAS (escrita em caixa alta, em negrito e centralizada). Devem ser digitadas em fonte tamanho 12, espaço duplo e justificadas. </w:t>
      </w:r>
      <w:r>
        <w:rPr>
          <w:rFonts w:eastAsia="Times New Roman"/>
          <w:b/>
        </w:rPr>
        <w:t>UM PERCENTUAL DE 60%</w:t>
      </w:r>
    </w:p>
    <w:p w:rsidR="00D47CE9" w:rsidRDefault="00D47CE9" w:rsidP="00C30935">
      <w:pPr>
        <w:pStyle w:val="Ttulo1"/>
        <w:ind w:left="-5"/>
        <w:jc w:val="both"/>
      </w:pPr>
      <w:r>
        <w:lastRenderedPageBreak/>
        <w:t>DO TOTAL DAS REFERÊNCIAS DEVERÁ SER ORIUNDO DE PERIÓDICOS CIENTÍFICOS INDEXADOS COM DATA DE PUBLICAÇÃO INFERIOR A 10</w:t>
      </w:r>
    </w:p>
    <w:p w:rsidR="00D47CE9" w:rsidRDefault="00D47CE9" w:rsidP="00C30935">
      <w:pPr>
        <w:spacing w:after="270" w:line="249" w:lineRule="auto"/>
        <w:ind w:left="-5"/>
        <w:jc w:val="both"/>
      </w:pPr>
      <w:r>
        <w:rPr>
          <w:rFonts w:eastAsia="Times New Roman"/>
          <w:b/>
        </w:rPr>
        <w:t xml:space="preserve">ANOS. Não são contabilizadas neste percentual de 60% referências de livros. Não serão aceitas nas referências citações de Resumos, Anais, Comunicados Técnicos, Monografias, Dissertações e Teses. </w:t>
      </w:r>
      <w:r>
        <w:t>Com relação aos periódicos, é dispensada a informação do local de publicação, porém os títulos não devem ser abreviados. Recomenda-se um total de 20 a 30 referências.</w:t>
      </w:r>
    </w:p>
    <w:p w:rsidR="00D47CE9" w:rsidRDefault="00D47CE9" w:rsidP="00C30935">
      <w:pPr>
        <w:spacing w:after="10" w:line="249" w:lineRule="auto"/>
        <w:ind w:left="-5" w:right="7188"/>
        <w:jc w:val="both"/>
      </w:pPr>
      <w:r>
        <w:rPr>
          <w:rFonts w:eastAsia="Times New Roman"/>
          <w:b/>
        </w:rPr>
        <w:t>Alguns exemplos: - Livro</w:t>
      </w:r>
    </w:p>
    <w:p w:rsidR="00D47CE9" w:rsidRDefault="00D47CE9" w:rsidP="00C30935">
      <w:pPr>
        <w:spacing w:after="275"/>
        <w:ind w:left="-5"/>
        <w:jc w:val="both"/>
      </w:pPr>
      <w:r w:rsidRPr="00915C7C">
        <w:rPr>
          <w:lang w:val="en-US"/>
        </w:rPr>
        <w:t xml:space="preserve">NEWMANN, A. L.; SNAPP, R. R. </w:t>
      </w:r>
      <w:r w:rsidRPr="00915C7C">
        <w:rPr>
          <w:rFonts w:eastAsia="Times New Roman"/>
          <w:b/>
          <w:lang w:val="en-US"/>
        </w:rPr>
        <w:t>Beef catlle</w:t>
      </w:r>
      <w:r w:rsidRPr="00915C7C">
        <w:rPr>
          <w:lang w:val="en-US"/>
        </w:rPr>
        <w:t xml:space="preserve">. </w:t>
      </w:r>
      <w:r w:rsidRPr="00D47CE9">
        <w:rPr>
          <w:lang w:val="en-US"/>
        </w:rPr>
        <w:t xml:space="preserve">7. ed. New York: John Willey, 1977. </w:t>
      </w:r>
      <w:r>
        <w:t>883 p.</w:t>
      </w:r>
    </w:p>
    <w:p w:rsidR="00D47CE9" w:rsidRDefault="00D47CE9" w:rsidP="00C30935">
      <w:pPr>
        <w:pStyle w:val="Ttulo1"/>
        <w:ind w:left="-5"/>
        <w:jc w:val="both"/>
      </w:pPr>
      <w:r>
        <w:t>- Capítulo de livro</w:t>
      </w:r>
    </w:p>
    <w:p w:rsidR="00D47CE9" w:rsidRDefault="00D47CE9" w:rsidP="00C30935">
      <w:pPr>
        <w:ind w:left="-5"/>
        <w:jc w:val="both"/>
      </w:pPr>
      <w:r>
        <w:t xml:space="preserve">MALAVOLTA, E.; DANTAS, J. P. Nutrição e adubação do milho. </w:t>
      </w:r>
      <w:r>
        <w:rPr>
          <w:rFonts w:eastAsia="Times New Roman"/>
          <w:i/>
        </w:rPr>
        <w:t>In:</w:t>
      </w:r>
      <w:r>
        <w:t xml:space="preserve"> PATERNIANI, E.;</w:t>
      </w:r>
    </w:p>
    <w:p w:rsidR="00D47CE9" w:rsidRDefault="00D47CE9" w:rsidP="00C30935">
      <w:pPr>
        <w:spacing w:after="270"/>
        <w:ind w:left="-5"/>
        <w:jc w:val="both"/>
      </w:pPr>
      <w:r>
        <w:t xml:space="preserve">VIEGAS, G. P. </w:t>
      </w:r>
      <w:r>
        <w:rPr>
          <w:rFonts w:eastAsia="Times New Roman"/>
          <w:b/>
        </w:rPr>
        <w:t>Melhoramento e produção do milho</w:t>
      </w:r>
      <w:r>
        <w:t>. 2. ed. Campinas: Fundação Cargil, 1987. cap. 13, p. 539-593.</w:t>
      </w:r>
    </w:p>
    <w:p w:rsidR="00D47CE9" w:rsidRDefault="00D47CE9" w:rsidP="00C30935">
      <w:pPr>
        <w:pStyle w:val="Ttulo1"/>
        <w:ind w:left="-5"/>
        <w:jc w:val="both"/>
      </w:pPr>
      <w:r>
        <w:t>- Artigo de revista</w:t>
      </w:r>
    </w:p>
    <w:p w:rsidR="00D47CE9" w:rsidRDefault="00D47CE9" w:rsidP="00C30935">
      <w:pPr>
        <w:spacing w:after="273"/>
        <w:ind w:left="-5"/>
        <w:jc w:val="both"/>
      </w:pPr>
      <w:r>
        <w:t xml:space="preserve">XAVIER, D. F.; CARVALHO, M. M.; BOTREL, M. A. Resposta de </w:t>
      </w:r>
      <w:r w:rsidRPr="008B4D0A">
        <w:rPr>
          <w:i/>
          <w:iCs/>
        </w:rPr>
        <w:t>Cratylia argentea</w:t>
      </w:r>
      <w:r>
        <w:t xml:space="preserve"> à aplicação em um solo ácido. </w:t>
      </w:r>
      <w:r>
        <w:rPr>
          <w:rFonts w:eastAsia="Times New Roman"/>
          <w:b/>
        </w:rPr>
        <w:t xml:space="preserve">Revista Brasileira de Zootecnia, </w:t>
      </w:r>
      <w:r>
        <w:t>v. 27, n. 1, p. 14-18, 1997.</w:t>
      </w:r>
    </w:p>
    <w:p w:rsidR="00D47CE9" w:rsidRDefault="00D47CE9" w:rsidP="00C30935">
      <w:pPr>
        <w:ind w:left="-5"/>
        <w:jc w:val="both"/>
      </w:pPr>
      <w:r>
        <w:t xml:space="preserve">ANDRADE, E. M. </w:t>
      </w:r>
      <w:r>
        <w:rPr>
          <w:rFonts w:eastAsia="Times New Roman"/>
          <w:i/>
        </w:rPr>
        <w:t>et al.</w:t>
      </w:r>
      <w:r>
        <w:t xml:space="preserve"> Mapa de vulnerabilidade da bacia do Acaraú, Ceará, à qualidade das águas de irrigação, pelo emprego do GIS. </w:t>
      </w:r>
      <w:r>
        <w:rPr>
          <w:rFonts w:eastAsia="Times New Roman"/>
          <w:b/>
        </w:rPr>
        <w:t>Revista Ciência Agronômica</w:t>
      </w:r>
      <w:r>
        <w:t>, v. 37, n. 3, p. 280287, 2006.</w:t>
      </w:r>
    </w:p>
    <w:p w:rsidR="00D47CE9" w:rsidRDefault="00D47CE9" w:rsidP="00C30935">
      <w:pPr>
        <w:spacing w:after="31"/>
        <w:ind w:left="-5"/>
        <w:jc w:val="both"/>
      </w:pPr>
      <w:r>
        <w:rPr>
          <w:rFonts w:eastAsia="Times New Roman"/>
          <w:b/>
        </w:rPr>
        <w:t>UNIDADES e SÍMBOLOS:</w:t>
      </w:r>
      <w:r>
        <w:t xml:space="preserve"> As unidades e símbolos do Sistema Internacional adotados pela Revista Ciência Agronômica.</w:t>
      </w:r>
    </w:p>
    <w:p w:rsidR="00D47CE9" w:rsidRDefault="00915C7C" w:rsidP="00C30935">
      <w:pPr>
        <w:pStyle w:val="Ttulo1"/>
        <w:tabs>
          <w:tab w:val="center" w:pos="1530"/>
          <w:tab w:val="center" w:pos="4541"/>
          <w:tab w:val="center" w:pos="6570"/>
          <w:tab w:val="center" w:pos="8206"/>
        </w:tabs>
        <w:spacing w:after="42"/>
        <w:jc w:val="both"/>
      </w:pPr>
      <w:r>
        <w:rPr>
          <w:rFonts w:ascii="Calibri" w:eastAsia="Calibri" w:hAnsi="Calibri" w:cs="Calibri"/>
          <w:noProof/>
          <w:sz w:val="22"/>
        </w:rPr>
        <w:pict>
          <v:group id="Group 10133" o:spid="_x0000_s1041" style="position:absolute;left:0;text-align:left;margin-left:-5.5pt;margin-top:-2.25pt;width:464.4pt;height:17.5pt;z-index:-251658240" coordsize="58978,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">
            <v:shape id="Shape 13368" o:spid="_x0000_s1051" style="position:absolute;width:20878;height:91;visibility:visible" coordsize="2087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" adj="0,,0" path="m,l2087867,r,9144l,9144,,e" fillcolor="black" stroked="f" strokeweight="0">
              <v:stroke miterlimit="83231f" joinstyle="miter"/>
              <v:formulas/>
              <v:path arrowok="t" o:connecttype="segments" textboxrect="0,0,2087867,9144"/>
            </v:shape>
            <v:shape id="Shape 13369" o:spid="_x0000_s1050" style="position:absolute;left:20878;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370" o:spid="_x0000_s1049" style="position:absolute;left:20939;width:17221;height:91;visibility:visible" coordsize="17221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" adj="0,,0" path="m,l1722107,r,9144l,9144,,e" fillcolor="black" stroked="f" strokeweight="0">
              <v:stroke miterlimit="83231f" joinstyle="miter"/>
              <v:formulas/>
              <v:path arrowok="t" o:connecttype="segments" textboxrect="0,0,1722107,9144"/>
            </v:shape>
            <v:shape id="Shape 13371" o:spid="_x0000_s1048" style="position:absolute;left:38160;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3372" o:spid="_x0000_s1047" style="position:absolute;left:38221;width:8443;height:91;visibility:visible" coordsize="8442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" adj="0,,0" path="m,l844283,r,9144l,9144,,e" fillcolor="black" stroked="f" strokeweight="0">
              <v:stroke miterlimit="83231f" joinstyle="miter"/>
              <v:formulas/>
              <v:path arrowok="t" o:connecttype="segments" textboxrect="0,0,844283,9144"/>
            </v:shape>
            <v:shape id="Shape 13373" o:spid="_x0000_s1046" style="position:absolute;left:46664;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3374" o:spid="_x0000_s1045" style="position:absolute;left:46725;width:12253;height:91;visibility:visible" coordsize="12252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" adj="0,,0" path="m,l1225283,r,9144l,9144,,e" fillcolor="black" stroked="f" strokeweight="0">
              <v:stroke miterlimit="83231f" joinstyle="miter"/>
              <v:formulas/>
              <v:path arrowok="t" o:connecttype="segments" textboxrect="0,0,1225283,9144"/>
            </v:shape>
            <v:shape id="Shape 13375" o:spid="_x0000_s1044" style="position:absolute;top:2164;width:20878;height:91;visibility:visible" coordsize="208786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" adj="0,,0" path="m,l2087867,r,9144l,9144,,e" fillcolor="black" stroked="f" strokeweight="0">
              <v:stroke miterlimit="83231f" joinstyle="miter"/>
              <v:formulas/>
              <v:path arrowok="t" o:connecttype="segments" textboxrect="0,0,2087867,9144"/>
            </v:shape>
            <v:shape id="Shape 13376" o:spid="_x0000_s1043" style="position:absolute;left:20878;top:2164;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13377" o:spid="_x0000_s1042" style="position:absolute;left:20939;top:2164;width:17221;height:91;visibility:visible" coordsize="17221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" adj="0,,0" path="m,l1722107,r,9144l,9144,,e" fillcolor="black" stroked="f" strokeweight="0">
              <v:stroke miterlimit="83231f" joinstyle="miter"/>
              <v:formulas/>
              <v:path arrowok="t" o:connecttype="segments" textboxrect="0,0,1722107,9144"/>
            </v:shape>
            <v:shape id="Shape 13378" o:spid="_x0000_s1037" style="position:absolute;left:38160;top:2164;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3379" o:spid="_x0000_s1038" style="position:absolute;left:38221;top:2164;width:8443;height:91;visibility:visible" coordsize="8442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" adj="0,,0" path="m,l844283,r,9144l,9144,,e" fillcolor="black" stroked="f" strokeweight="0">
              <v:stroke miterlimit="83231f" joinstyle="miter"/>
              <v:formulas/>
              <v:path arrowok="t" o:connecttype="segments" textboxrect="0,0,844283,9144"/>
            </v:shape>
            <v:shape id="Shape 13380" o:spid="_x0000_s1039" style="position:absolute;left:46664;top:2164;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13381" o:spid="_x0000_s1040" style="position:absolute;left:46725;top:2164;width:12253;height:91;visibility:visible" coordsize="122528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" adj="0,,0" path="m,l1225283,r,9144l,9144,,e" fillcolor="black" stroked="f" strokeweight="0">
              <v:stroke miterlimit="83231f" joinstyle="miter"/>
              <v:formulas/>
              <v:path arrowok="t" o:connecttype="segments" textboxrect="0,0,1225283,9144"/>
            </v:shape>
          </v:group>
        </w:pict>
      </w:r>
      <w:r w:rsidR="00D47CE9">
        <w:rPr>
          <w:rFonts w:ascii="Calibri" w:eastAsia="Calibri" w:hAnsi="Calibri" w:cs="Calibri"/>
          <w:b w:val="0"/>
          <w:sz w:val="22"/>
        </w:rPr>
        <w:tab/>
      </w:r>
      <w:r w:rsidR="00D47CE9">
        <w:t>Grandezas básicas</w:t>
      </w:r>
      <w:r w:rsidR="00D47CE9">
        <w:tab/>
        <w:t>Unidades</w:t>
      </w:r>
      <w:r w:rsidR="00D47CE9">
        <w:tab/>
        <w:t>Símbolos</w:t>
      </w:r>
      <w:r w:rsidR="00D47CE9">
        <w:tab/>
        <w:t>Exemplos</w:t>
      </w:r>
    </w:p>
    <w:p w:rsidR="00D47CE9" w:rsidRDefault="00D47CE9" w:rsidP="00C30935">
      <w:pPr>
        <w:tabs>
          <w:tab w:val="center" w:pos="4538"/>
          <w:tab w:val="center" w:pos="6568"/>
        </w:tabs>
        <w:ind w:left="-15"/>
        <w:jc w:val="both"/>
      </w:pPr>
      <w:r>
        <w:t>Comprimento</w:t>
      </w:r>
      <w:r>
        <w:tab/>
        <w:t>metro</w:t>
      </w:r>
      <w:r>
        <w:tab/>
        <w:t>m</w:t>
      </w:r>
    </w:p>
    <w:tbl>
      <w:tblPr>
        <w:tblStyle w:val="TableGrid"/>
        <w:tblW w:w="9302" w:type="dxa"/>
        <w:tblInd w:w="-125" w:type="dxa"/>
        <w:tblCellMar>
          <w:right w:w="115" w:type="dxa"/>
        </w:tblCellMar>
        <w:tblLook w:val="04A0" w:firstRow="1" w:lastRow="0" w:firstColumn="1" w:lastColumn="0" w:noHBand="0" w:noVBand="1"/>
      </w:tblPr>
      <w:tblGrid>
        <w:gridCol w:w="3547"/>
        <w:gridCol w:w="2659"/>
        <w:gridCol w:w="1368"/>
        <w:gridCol w:w="1728"/>
      </w:tblGrid>
      <w:tr w:rsidR="00D47CE9" w:rsidTr="00F06BBC">
        <w:trPr>
          <w:trHeight w:val="303"/>
        </w:trPr>
        <w:tc>
          <w:tcPr>
            <w:tcW w:w="3547" w:type="dxa"/>
            <w:tcBorders>
              <w:top w:val="nil"/>
              <w:left w:val="nil"/>
              <w:bottom w:val="nil"/>
              <w:right w:val="nil"/>
            </w:tcBorders>
          </w:tcPr>
          <w:p w:rsidR="00D47CE9" w:rsidRDefault="00D47CE9" w:rsidP="00C30935">
            <w:pPr>
              <w:spacing w:line="259" w:lineRule="auto"/>
              <w:ind w:left="125"/>
              <w:jc w:val="both"/>
            </w:pPr>
            <w:r>
              <w:t>Massa</w:t>
            </w:r>
          </w:p>
        </w:tc>
        <w:tc>
          <w:tcPr>
            <w:tcW w:w="2659" w:type="dxa"/>
            <w:tcBorders>
              <w:top w:val="nil"/>
              <w:left w:val="nil"/>
              <w:bottom w:val="nil"/>
              <w:right w:val="nil"/>
            </w:tcBorders>
          </w:tcPr>
          <w:p w:rsidR="00D47CE9" w:rsidRDefault="00D47CE9" w:rsidP="00C30935">
            <w:pPr>
              <w:spacing w:line="259" w:lineRule="auto"/>
              <w:ind w:left="571"/>
              <w:jc w:val="both"/>
            </w:pPr>
            <w:r>
              <w:t>quilograma</w:t>
            </w:r>
          </w:p>
        </w:tc>
        <w:tc>
          <w:tcPr>
            <w:tcW w:w="1368" w:type="dxa"/>
            <w:tcBorders>
              <w:top w:val="nil"/>
              <w:left w:val="nil"/>
              <w:bottom w:val="nil"/>
              <w:right w:val="nil"/>
            </w:tcBorders>
          </w:tcPr>
          <w:p w:rsidR="00D47CE9" w:rsidRDefault="00D47CE9" w:rsidP="00C30935">
            <w:pPr>
              <w:spacing w:line="259" w:lineRule="auto"/>
              <w:ind w:left="370"/>
              <w:jc w:val="both"/>
            </w:pPr>
            <w:r>
              <w:t>kg</w:t>
            </w:r>
          </w:p>
        </w:tc>
        <w:tc>
          <w:tcPr>
            <w:tcW w:w="1728" w:type="dxa"/>
            <w:tcBorders>
              <w:top w:val="nil"/>
              <w:left w:val="nil"/>
              <w:bottom w:val="nil"/>
              <w:right w:val="nil"/>
            </w:tcBorders>
          </w:tcPr>
          <w:p w:rsidR="00D47CE9" w:rsidRDefault="00D47CE9" w:rsidP="00C30935">
            <w:pPr>
              <w:spacing w:after="160" w:line="259" w:lineRule="auto"/>
              <w:jc w:val="both"/>
            </w:pP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Tempo</w:t>
            </w:r>
          </w:p>
        </w:tc>
        <w:tc>
          <w:tcPr>
            <w:tcW w:w="2659" w:type="dxa"/>
            <w:tcBorders>
              <w:top w:val="nil"/>
              <w:left w:val="nil"/>
              <w:bottom w:val="nil"/>
              <w:right w:val="nil"/>
            </w:tcBorders>
          </w:tcPr>
          <w:p w:rsidR="00D47CE9" w:rsidRDefault="00D47CE9" w:rsidP="00C30935">
            <w:pPr>
              <w:spacing w:line="259" w:lineRule="auto"/>
              <w:ind w:left="715"/>
              <w:jc w:val="both"/>
            </w:pPr>
            <w:r>
              <w:t>segundo</w:t>
            </w:r>
          </w:p>
        </w:tc>
        <w:tc>
          <w:tcPr>
            <w:tcW w:w="1368" w:type="dxa"/>
            <w:tcBorders>
              <w:top w:val="nil"/>
              <w:left w:val="nil"/>
              <w:bottom w:val="nil"/>
              <w:right w:val="nil"/>
            </w:tcBorders>
          </w:tcPr>
          <w:p w:rsidR="00D47CE9" w:rsidRDefault="00D47CE9" w:rsidP="00C30935">
            <w:pPr>
              <w:spacing w:line="259" w:lineRule="auto"/>
              <w:ind w:left="442"/>
              <w:jc w:val="both"/>
            </w:pPr>
            <w:r>
              <w:t>s</w:t>
            </w:r>
          </w:p>
        </w:tc>
        <w:tc>
          <w:tcPr>
            <w:tcW w:w="1728" w:type="dxa"/>
            <w:tcBorders>
              <w:top w:val="nil"/>
              <w:left w:val="nil"/>
              <w:bottom w:val="nil"/>
              <w:right w:val="nil"/>
            </w:tcBorders>
          </w:tcPr>
          <w:p w:rsidR="00D47CE9" w:rsidRDefault="00D47CE9" w:rsidP="00C30935">
            <w:pPr>
              <w:spacing w:after="160" w:line="259" w:lineRule="auto"/>
              <w:jc w:val="both"/>
            </w:pP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Corrente elétrica</w:t>
            </w:r>
          </w:p>
        </w:tc>
        <w:tc>
          <w:tcPr>
            <w:tcW w:w="2659" w:type="dxa"/>
            <w:tcBorders>
              <w:top w:val="nil"/>
              <w:left w:val="nil"/>
              <w:bottom w:val="nil"/>
              <w:right w:val="nil"/>
            </w:tcBorders>
          </w:tcPr>
          <w:p w:rsidR="00D47CE9" w:rsidRDefault="00D47CE9" w:rsidP="00C30935">
            <w:pPr>
              <w:spacing w:line="259" w:lineRule="auto"/>
              <w:ind w:left="816"/>
              <w:jc w:val="both"/>
            </w:pPr>
            <w:r>
              <w:t>amper</w:t>
            </w:r>
          </w:p>
        </w:tc>
        <w:tc>
          <w:tcPr>
            <w:tcW w:w="1368" w:type="dxa"/>
            <w:tcBorders>
              <w:top w:val="nil"/>
              <w:left w:val="nil"/>
              <w:bottom w:val="nil"/>
              <w:right w:val="nil"/>
            </w:tcBorders>
          </w:tcPr>
          <w:p w:rsidR="00D47CE9" w:rsidRDefault="00D47CE9" w:rsidP="00C30935">
            <w:pPr>
              <w:spacing w:line="259" w:lineRule="auto"/>
              <w:ind w:left="403"/>
              <w:jc w:val="both"/>
            </w:pPr>
            <w:r>
              <w:t>A</w:t>
            </w:r>
          </w:p>
        </w:tc>
        <w:tc>
          <w:tcPr>
            <w:tcW w:w="1728" w:type="dxa"/>
            <w:tcBorders>
              <w:top w:val="nil"/>
              <w:left w:val="nil"/>
              <w:bottom w:val="nil"/>
              <w:right w:val="nil"/>
            </w:tcBorders>
          </w:tcPr>
          <w:p w:rsidR="00D47CE9" w:rsidRDefault="00D47CE9" w:rsidP="00C30935">
            <w:pPr>
              <w:spacing w:after="160" w:line="259" w:lineRule="auto"/>
              <w:jc w:val="both"/>
            </w:pPr>
          </w:p>
        </w:tc>
      </w:tr>
      <w:tr w:rsidR="00D47CE9" w:rsidTr="00F06BBC">
        <w:trPr>
          <w:trHeight w:val="338"/>
        </w:trPr>
        <w:tc>
          <w:tcPr>
            <w:tcW w:w="3547" w:type="dxa"/>
            <w:tcBorders>
              <w:top w:val="nil"/>
              <w:left w:val="nil"/>
              <w:bottom w:val="nil"/>
              <w:right w:val="nil"/>
            </w:tcBorders>
          </w:tcPr>
          <w:p w:rsidR="00D47CE9" w:rsidRDefault="00D47CE9" w:rsidP="00C30935">
            <w:pPr>
              <w:spacing w:line="259" w:lineRule="auto"/>
              <w:ind w:left="125"/>
              <w:jc w:val="both"/>
            </w:pPr>
            <w:r>
              <w:t>Temperatura termodinâmica</w:t>
            </w:r>
          </w:p>
        </w:tc>
        <w:tc>
          <w:tcPr>
            <w:tcW w:w="2659" w:type="dxa"/>
            <w:tcBorders>
              <w:top w:val="nil"/>
              <w:left w:val="nil"/>
              <w:bottom w:val="nil"/>
              <w:right w:val="nil"/>
            </w:tcBorders>
          </w:tcPr>
          <w:p w:rsidR="00D47CE9" w:rsidRDefault="00D47CE9" w:rsidP="00C30935">
            <w:pPr>
              <w:spacing w:line="259" w:lineRule="auto"/>
              <w:ind w:left="792"/>
              <w:jc w:val="both"/>
            </w:pPr>
            <w:r>
              <w:t>Kelvin</w:t>
            </w:r>
          </w:p>
        </w:tc>
        <w:tc>
          <w:tcPr>
            <w:tcW w:w="1368" w:type="dxa"/>
            <w:tcBorders>
              <w:top w:val="nil"/>
              <w:left w:val="nil"/>
              <w:bottom w:val="nil"/>
              <w:right w:val="nil"/>
            </w:tcBorders>
          </w:tcPr>
          <w:p w:rsidR="00D47CE9" w:rsidRDefault="00D47CE9" w:rsidP="00C30935">
            <w:pPr>
              <w:spacing w:line="259" w:lineRule="auto"/>
              <w:ind w:left="403"/>
              <w:jc w:val="both"/>
            </w:pPr>
            <w:r>
              <w:t>K</w:t>
            </w:r>
          </w:p>
        </w:tc>
        <w:tc>
          <w:tcPr>
            <w:tcW w:w="1728" w:type="dxa"/>
            <w:tcBorders>
              <w:top w:val="nil"/>
              <w:left w:val="nil"/>
              <w:bottom w:val="nil"/>
              <w:right w:val="nil"/>
            </w:tcBorders>
          </w:tcPr>
          <w:p w:rsidR="00D47CE9" w:rsidRDefault="00D47CE9" w:rsidP="00C30935">
            <w:pPr>
              <w:spacing w:after="160" w:line="259" w:lineRule="auto"/>
              <w:jc w:val="both"/>
            </w:pPr>
          </w:p>
        </w:tc>
      </w:tr>
      <w:tr w:rsidR="00D47CE9" w:rsidTr="00F06BBC">
        <w:trPr>
          <w:trHeight w:val="350"/>
        </w:trPr>
        <w:tc>
          <w:tcPr>
            <w:tcW w:w="3547" w:type="dxa"/>
            <w:tcBorders>
              <w:top w:val="nil"/>
              <w:left w:val="nil"/>
              <w:bottom w:val="single" w:sz="4" w:space="0" w:color="000000"/>
              <w:right w:val="nil"/>
            </w:tcBorders>
          </w:tcPr>
          <w:p w:rsidR="00D47CE9" w:rsidRDefault="00D47CE9" w:rsidP="00C30935">
            <w:pPr>
              <w:spacing w:line="259" w:lineRule="auto"/>
              <w:ind w:left="125"/>
              <w:jc w:val="both"/>
            </w:pPr>
            <w:r>
              <w:t>Quantidade de substância</w:t>
            </w:r>
          </w:p>
        </w:tc>
        <w:tc>
          <w:tcPr>
            <w:tcW w:w="2659" w:type="dxa"/>
            <w:tcBorders>
              <w:top w:val="nil"/>
              <w:left w:val="nil"/>
              <w:bottom w:val="single" w:sz="4" w:space="0" w:color="000000"/>
              <w:right w:val="nil"/>
            </w:tcBorders>
          </w:tcPr>
          <w:p w:rsidR="00D47CE9" w:rsidRDefault="00D47CE9" w:rsidP="00C30935">
            <w:pPr>
              <w:spacing w:line="259" w:lineRule="auto"/>
              <w:ind w:left="931"/>
              <w:jc w:val="both"/>
            </w:pPr>
            <w:r>
              <w:t>mol</w:t>
            </w:r>
          </w:p>
        </w:tc>
        <w:tc>
          <w:tcPr>
            <w:tcW w:w="1368" w:type="dxa"/>
            <w:tcBorders>
              <w:top w:val="nil"/>
              <w:left w:val="nil"/>
              <w:bottom w:val="single" w:sz="4" w:space="0" w:color="000000"/>
              <w:right w:val="nil"/>
            </w:tcBorders>
          </w:tcPr>
          <w:p w:rsidR="00D47CE9" w:rsidRDefault="00D47CE9" w:rsidP="00C30935">
            <w:pPr>
              <w:spacing w:line="259" w:lineRule="auto"/>
              <w:ind w:left="302"/>
              <w:jc w:val="both"/>
            </w:pPr>
            <w:r>
              <w:t>mol</w:t>
            </w:r>
          </w:p>
        </w:tc>
        <w:tc>
          <w:tcPr>
            <w:tcW w:w="1728" w:type="dxa"/>
            <w:tcBorders>
              <w:top w:val="nil"/>
              <w:left w:val="nil"/>
              <w:bottom w:val="single" w:sz="4" w:space="0" w:color="000000"/>
              <w:right w:val="nil"/>
            </w:tcBorders>
          </w:tcPr>
          <w:p w:rsidR="00D47CE9" w:rsidRDefault="00D47CE9" w:rsidP="00C30935">
            <w:pPr>
              <w:spacing w:after="160" w:line="259" w:lineRule="auto"/>
              <w:jc w:val="both"/>
            </w:pPr>
          </w:p>
        </w:tc>
      </w:tr>
      <w:tr w:rsidR="00D47CE9" w:rsidTr="00F06BBC">
        <w:trPr>
          <w:trHeight w:val="336"/>
        </w:trPr>
        <w:tc>
          <w:tcPr>
            <w:tcW w:w="3547" w:type="dxa"/>
            <w:tcBorders>
              <w:top w:val="single" w:sz="4" w:space="0" w:color="000000"/>
              <w:left w:val="nil"/>
              <w:bottom w:val="single" w:sz="4" w:space="0" w:color="000000"/>
              <w:right w:val="nil"/>
            </w:tcBorders>
          </w:tcPr>
          <w:p w:rsidR="00D47CE9" w:rsidRDefault="00D47CE9" w:rsidP="00C30935">
            <w:pPr>
              <w:spacing w:line="259" w:lineRule="auto"/>
              <w:ind w:left="648"/>
              <w:jc w:val="both"/>
            </w:pPr>
            <w:r>
              <w:rPr>
                <w:rFonts w:ascii="Times New Roman" w:eastAsia="Times New Roman" w:hAnsi="Times New Roman" w:cs="Times New Roman"/>
                <w:b/>
              </w:rPr>
              <w:t>Unidades derivadas</w:t>
            </w:r>
          </w:p>
        </w:tc>
        <w:tc>
          <w:tcPr>
            <w:tcW w:w="2659" w:type="dxa"/>
            <w:tcBorders>
              <w:top w:val="single" w:sz="4" w:space="0" w:color="000000"/>
              <w:left w:val="nil"/>
              <w:bottom w:val="single" w:sz="4" w:space="0" w:color="000000"/>
              <w:right w:val="nil"/>
            </w:tcBorders>
          </w:tcPr>
          <w:p w:rsidR="00D47CE9" w:rsidRDefault="00D47CE9" w:rsidP="00C30935">
            <w:pPr>
              <w:spacing w:after="160" w:line="259" w:lineRule="auto"/>
              <w:jc w:val="both"/>
            </w:pPr>
          </w:p>
        </w:tc>
        <w:tc>
          <w:tcPr>
            <w:tcW w:w="1368" w:type="dxa"/>
            <w:tcBorders>
              <w:top w:val="single" w:sz="4" w:space="0" w:color="000000"/>
              <w:left w:val="nil"/>
              <w:bottom w:val="single" w:sz="4" w:space="0" w:color="000000"/>
              <w:right w:val="nil"/>
            </w:tcBorders>
          </w:tcPr>
          <w:p w:rsidR="00D47CE9" w:rsidRDefault="00D47CE9" w:rsidP="00C30935">
            <w:pPr>
              <w:spacing w:after="160" w:line="259" w:lineRule="auto"/>
              <w:jc w:val="both"/>
            </w:pPr>
          </w:p>
        </w:tc>
        <w:tc>
          <w:tcPr>
            <w:tcW w:w="1728" w:type="dxa"/>
            <w:tcBorders>
              <w:top w:val="single" w:sz="4" w:space="0" w:color="000000"/>
              <w:left w:val="nil"/>
              <w:bottom w:val="single" w:sz="4" w:space="0" w:color="000000"/>
              <w:right w:val="nil"/>
            </w:tcBorders>
          </w:tcPr>
          <w:p w:rsidR="00D47CE9" w:rsidRDefault="00D47CE9" w:rsidP="00C30935">
            <w:pPr>
              <w:spacing w:after="160" w:line="259" w:lineRule="auto"/>
              <w:jc w:val="both"/>
            </w:pPr>
          </w:p>
        </w:tc>
      </w:tr>
      <w:tr w:rsidR="00D47CE9" w:rsidTr="00F06BBC">
        <w:trPr>
          <w:trHeight w:val="318"/>
        </w:trPr>
        <w:tc>
          <w:tcPr>
            <w:tcW w:w="3547" w:type="dxa"/>
            <w:tcBorders>
              <w:top w:val="single" w:sz="4" w:space="0" w:color="000000"/>
              <w:left w:val="nil"/>
              <w:bottom w:val="nil"/>
              <w:right w:val="nil"/>
            </w:tcBorders>
          </w:tcPr>
          <w:p w:rsidR="00D47CE9" w:rsidRDefault="00D47CE9" w:rsidP="00C30935">
            <w:pPr>
              <w:spacing w:line="259" w:lineRule="auto"/>
              <w:ind w:left="125"/>
              <w:jc w:val="both"/>
            </w:pPr>
            <w:r>
              <w:t>Velocidade</w:t>
            </w:r>
          </w:p>
        </w:tc>
        <w:tc>
          <w:tcPr>
            <w:tcW w:w="2659" w:type="dxa"/>
            <w:tcBorders>
              <w:top w:val="single" w:sz="4" w:space="0" w:color="000000"/>
              <w:left w:val="nil"/>
              <w:bottom w:val="nil"/>
              <w:right w:val="nil"/>
            </w:tcBorders>
          </w:tcPr>
          <w:p w:rsidR="00D47CE9" w:rsidRDefault="00D47CE9" w:rsidP="00C30935">
            <w:pPr>
              <w:spacing w:line="259" w:lineRule="auto"/>
              <w:ind w:left="998"/>
              <w:jc w:val="both"/>
            </w:pPr>
            <w:r>
              <w:t>---</w:t>
            </w:r>
          </w:p>
        </w:tc>
        <w:tc>
          <w:tcPr>
            <w:tcW w:w="1368" w:type="dxa"/>
            <w:tcBorders>
              <w:top w:val="single" w:sz="4" w:space="0" w:color="000000"/>
              <w:left w:val="nil"/>
              <w:bottom w:val="nil"/>
              <w:right w:val="nil"/>
            </w:tcBorders>
          </w:tcPr>
          <w:p w:rsidR="00D47CE9" w:rsidRDefault="00D47CE9" w:rsidP="00C30935">
            <w:pPr>
              <w:spacing w:line="259" w:lineRule="auto"/>
              <w:ind w:left="250"/>
              <w:jc w:val="both"/>
            </w:pPr>
            <w:r>
              <w:t>m s</w:t>
            </w:r>
            <w:r>
              <w:rPr>
                <w:sz w:val="16"/>
              </w:rPr>
              <w:t>-1</w:t>
            </w:r>
          </w:p>
        </w:tc>
        <w:tc>
          <w:tcPr>
            <w:tcW w:w="1728" w:type="dxa"/>
            <w:tcBorders>
              <w:top w:val="single" w:sz="4" w:space="0" w:color="000000"/>
              <w:left w:val="nil"/>
              <w:bottom w:val="nil"/>
              <w:right w:val="nil"/>
            </w:tcBorders>
          </w:tcPr>
          <w:p w:rsidR="00D47CE9" w:rsidRDefault="00D47CE9" w:rsidP="00C30935">
            <w:pPr>
              <w:spacing w:line="259" w:lineRule="auto"/>
              <w:ind w:left="312"/>
              <w:jc w:val="both"/>
            </w:pPr>
            <w:r>
              <w:t>343 m s</w:t>
            </w:r>
            <w:r>
              <w:rPr>
                <w:vertAlign w:val="superscript"/>
              </w:rPr>
              <w:t>-1</w:t>
            </w:r>
          </w:p>
        </w:tc>
      </w:tr>
      <w:tr w:rsidR="00D47CE9" w:rsidTr="00F06BBC">
        <w:trPr>
          <w:trHeight w:val="338"/>
        </w:trPr>
        <w:tc>
          <w:tcPr>
            <w:tcW w:w="3547" w:type="dxa"/>
            <w:tcBorders>
              <w:top w:val="nil"/>
              <w:left w:val="nil"/>
              <w:bottom w:val="nil"/>
              <w:right w:val="nil"/>
            </w:tcBorders>
          </w:tcPr>
          <w:p w:rsidR="00D47CE9" w:rsidRDefault="00D47CE9" w:rsidP="00C30935">
            <w:pPr>
              <w:spacing w:line="259" w:lineRule="auto"/>
              <w:ind w:left="125"/>
              <w:jc w:val="both"/>
            </w:pPr>
            <w:r>
              <w:t>Aceleração</w:t>
            </w:r>
          </w:p>
        </w:tc>
        <w:tc>
          <w:tcPr>
            <w:tcW w:w="2659" w:type="dxa"/>
            <w:tcBorders>
              <w:top w:val="nil"/>
              <w:left w:val="nil"/>
              <w:bottom w:val="nil"/>
              <w:right w:val="nil"/>
            </w:tcBorders>
          </w:tcPr>
          <w:p w:rsidR="00D47CE9" w:rsidRDefault="00D47CE9" w:rsidP="00C30935">
            <w:pPr>
              <w:spacing w:line="259" w:lineRule="auto"/>
              <w:ind w:left="998"/>
              <w:jc w:val="both"/>
            </w:pPr>
            <w:r>
              <w:t>---</w:t>
            </w:r>
          </w:p>
        </w:tc>
        <w:tc>
          <w:tcPr>
            <w:tcW w:w="1368" w:type="dxa"/>
            <w:tcBorders>
              <w:top w:val="nil"/>
              <w:left w:val="nil"/>
              <w:bottom w:val="nil"/>
              <w:right w:val="nil"/>
            </w:tcBorders>
          </w:tcPr>
          <w:p w:rsidR="00D47CE9" w:rsidRDefault="00D47CE9" w:rsidP="00C30935">
            <w:pPr>
              <w:spacing w:line="259" w:lineRule="auto"/>
              <w:ind w:left="250"/>
              <w:jc w:val="both"/>
            </w:pPr>
            <w:r>
              <w:t>m s</w:t>
            </w:r>
            <w:r>
              <w:rPr>
                <w:vertAlign w:val="superscript"/>
              </w:rPr>
              <w:t>-2</w:t>
            </w:r>
          </w:p>
        </w:tc>
        <w:tc>
          <w:tcPr>
            <w:tcW w:w="1728" w:type="dxa"/>
            <w:tcBorders>
              <w:top w:val="nil"/>
              <w:left w:val="nil"/>
              <w:bottom w:val="nil"/>
              <w:right w:val="nil"/>
            </w:tcBorders>
          </w:tcPr>
          <w:p w:rsidR="00D47CE9" w:rsidRDefault="00D47CE9" w:rsidP="00C30935">
            <w:pPr>
              <w:spacing w:line="259" w:lineRule="auto"/>
              <w:ind w:left="341"/>
              <w:jc w:val="both"/>
            </w:pPr>
            <w:r>
              <w:t>9,8 m s</w:t>
            </w:r>
            <w:r>
              <w:rPr>
                <w:vertAlign w:val="superscript"/>
              </w:rPr>
              <w:t>-2</w:t>
            </w:r>
          </w:p>
        </w:tc>
      </w:tr>
      <w:tr w:rsidR="00D47CE9" w:rsidTr="00F06BBC">
        <w:trPr>
          <w:trHeight w:val="360"/>
        </w:trPr>
        <w:tc>
          <w:tcPr>
            <w:tcW w:w="3547" w:type="dxa"/>
            <w:tcBorders>
              <w:top w:val="nil"/>
              <w:left w:val="nil"/>
              <w:bottom w:val="nil"/>
              <w:right w:val="nil"/>
            </w:tcBorders>
          </w:tcPr>
          <w:p w:rsidR="00D47CE9" w:rsidRDefault="00D47CE9" w:rsidP="00C30935">
            <w:pPr>
              <w:spacing w:line="259" w:lineRule="auto"/>
              <w:ind w:left="125"/>
              <w:jc w:val="both"/>
            </w:pPr>
            <w:r>
              <w:t>Volume</w:t>
            </w:r>
          </w:p>
        </w:tc>
        <w:tc>
          <w:tcPr>
            <w:tcW w:w="2659" w:type="dxa"/>
            <w:tcBorders>
              <w:top w:val="nil"/>
              <w:left w:val="nil"/>
              <w:bottom w:val="nil"/>
              <w:right w:val="nil"/>
            </w:tcBorders>
          </w:tcPr>
          <w:p w:rsidR="00D47CE9" w:rsidRDefault="00D47CE9" w:rsidP="00C30935">
            <w:pPr>
              <w:spacing w:line="259" w:lineRule="auto"/>
              <w:ind w:left="226"/>
              <w:jc w:val="both"/>
            </w:pPr>
            <w:r>
              <w:t>metro cúbico, litro</w:t>
            </w:r>
          </w:p>
        </w:tc>
        <w:tc>
          <w:tcPr>
            <w:tcW w:w="1368" w:type="dxa"/>
            <w:tcBorders>
              <w:top w:val="nil"/>
              <w:left w:val="nil"/>
              <w:bottom w:val="nil"/>
              <w:right w:val="nil"/>
            </w:tcBorders>
          </w:tcPr>
          <w:p w:rsidR="00D47CE9" w:rsidRDefault="00D47CE9" w:rsidP="00C30935">
            <w:pPr>
              <w:spacing w:line="259" w:lineRule="auto"/>
              <w:ind w:left="130"/>
              <w:jc w:val="both"/>
            </w:pPr>
            <w:r>
              <w:t>m</w:t>
            </w:r>
            <w:r>
              <w:rPr>
                <w:vertAlign w:val="superscript"/>
              </w:rPr>
              <w:t>3</w:t>
            </w:r>
            <w:r>
              <w:t>,  L*</w:t>
            </w:r>
          </w:p>
        </w:tc>
        <w:tc>
          <w:tcPr>
            <w:tcW w:w="1728" w:type="dxa"/>
            <w:tcBorders>
              <w:top w:val="nil"/>
              <w:left w:val="nil"/>
              <w:bottom w:val="nil"/>
              <w:right w:val="nil"/>
            </w:tcBorders>
          </w:tcPr>
          <w:p w:rsidR="00D47CE9" w:rsidRDefault="00D47CE9" w:rsidP="00C30935">
            <w:pPr>
              <w:spacing w:line="259" w:lineRule="auto"/>
              <w:ind w:left="43"/>
              <w:jc w:val="both"/>
            </w:pPr>
            <w:r>
              <w:t>1 m</w:t>
            </w:r>
            <w:r>
              <w:rPr>
                <w:vertAlign w:val="superscript"/>
              </w:rPr>
              <w:t>3</w:t>
            </w:r>
            <w:r>
              <w:t>, 1 000 L*</w:t>
            </w:r>
          </w:p>
        </w:tc>
      </w:tr>
      <w:tr w:rsidR="00D47CE9" w:rsidTr="00F06BBC">
        <w:trPr>
          <w:trHeight w:val="320"/>
        </w:trPr>
        <w:tc>
          <w:tcPr>
            <w:tcW w:w="3547" w:type="dxa"/>
            <w:tcBorders>
              <w:top w:val="nil"/>
              <w:left w:val="nil"/>
              <w:bottom w:val="nil"/>
              <w:right w:val="nil"/>
            </w:tcBorders>
          </w:tcPr>
          <w:p w:rsidR="00D47CE9" w:rsidRDefault="00D47CE9" w:rsidP="00C30935">
            <w:pPr>
              <w:spacing w:line="259" w:lineRule="auto"/>
              <w:ind w:left="125"/>
              <w:jc w:val="both"/>
            </w:pPr>
            <w:r>
              <w:lastRenderedPageBreak/>
              <w:t>Freqüência</w:t>
            </w:r>
          </w:p>
        </w:tc>
        <w:tc>
          <w:tcPr>
            <w:tcW w:w="2659" w:type="dxa"/>
            <w:tcBorders>
              <w:top w:val="nil"/>
              <w:left w:val="nil"/>
              <w:bottom w:val="nil"/>
              <w:right w:val="nil"/>
            </w:tcBorders>
          </w:tcPr>
          <w:p w:rsidR="00D47CE9" w:rsidRDefault="00D47CE9" w:rsidP="00C30935">
            <w:pPr>
              <w:spacing w:line="259" w:lineRule="auto"/>
              <w:ind w:left="850"/>
              <w:jc w:val="both"/>
            </w:pPr>
            <w:r>
              <w:t>Hertz</w:t>
            </w:r>
          </w:p>
        </w:tc>
        <w:tc>
          <w:tcPr>
            <w:tcW w:w="1368" w:type="dxa"/>
            <w:tcBorders>
              <w:top w:val="nil"/>
              <w:left w:val="nil"/>
              <w:bottom w:val="nil"/>
              <w:right w:val="nil"/>
            </w:tcBorders>
          </w:tcPr>
          <w:p w:rsidR="00D47CE9" w:rsidRDefault="00D47CE9" w:rsidP="00C30935">
            <w:pPr>
              <w:spacing w:line="259" w:lineRule="auto"/>
              <w:ind w:left="350"/>
              <w:jc w:val="both"/>
            </w:pPr>
            <w:r>
              <w:t>Hz</w:t>
            </w:r>
          </w:p>
        </w:tc>
        <w:tc>
          <w:tcPr>
            <w:tcW w:w="1728" w:type="dxa"/>
            <w:tcBorders>
              <w:top w:val="nil"/>
              <w:left w:val="nil"/>
              <w:bottom w:val="nil"/>
              <w:right w:val="nil"/>
            </w:tcBorders>
          </w:tcPr>
          <w:p w:rsidR="00D47CE9" w:rsidRDefault="00D47CE9" w:rsidP="00C30935">
            <w:pPr>
              <w:spacing w:line="259" w:lineRule="auto"/>
              <w:ind w:left="470"/>
              <w:jc w:val="both"/>
            </w:pPr>
            <w:r>
              <w:t>10 Hz</w:t>
            </w:r>
          </w:p>
        </w:tc>
      </w:tr>
      <w:tr w:rsidR="00D47CE9" w:rsidTr="00F06BBC">
        <w:trPr>
          <w:trHeight w:val="357"/>
        </w:trPr>
        <w:tc>
          <w:tcPr>
            <w:tcW w:w="3547" w:type="dxa"/>
            <w:tcBorders>
              <w:top w:val="nil"/>
              <w:left w:val="nil"/>
              <w:bottom w:val="nil"/>
              <w:right w:val="nil"/>
            </w:tcBorders>
          </w:tcPr>
          <w:p w:rsidR="00D47CE9" w:rsidRDefault="00D47CE9" w:rsidP="00C30935">
            <w:pPr>
              <w:spacing w:line="259" w:lineRule="auto"/>
              <w:ind w:left="125"/>
              <w:jc w:val="both"/>
            </w:pPr>
            <w:r>
              <w:t>Massa específica</w:t>
            </w:r>
          </w:p>
        </w:tc>
        <w:tc>
          <w:tcPr>
            <w:tcW w:w="2659" w:type="dxa"/>
            <w:tcBorders>
              <w:top w:val="nil"/>
              <w:left w:val="nil"/>
              <w:bottom w:val="nil"/>
              <w:right w:val="nil"/>
            </w:tcBorders>
          </w:tcPr>
          <w:p w:rsidR="00D47CE9" w:rsidRDefault="00D47CE9" w:rsidP="00C30935">
            <w:pPr>
              <w:spacing w:line="259" w:lineRule="auto"/>
              <w:ind w:left="998"/>
              <w:jc w:val="both"/>
            </w:pPr>
            <w:r>
              <w:t>---</w:t>
            </w:r>
          </w:p>
        </w:tc>
        <w:tc>
          <w:tcPr>
            <w:tcW w:w="1368" w:type="dxa"/>
            <w:tcBorders>
              <w:top w:val="nil"/>
              <w:left w:val="nil"/>
              <w:bottom w:val="nil"/>
              <w:right w:val="nil"/>
            </w:tcBorders>
          </w:tcPr>
          <w:p w:rsidR="00D47CE9" w:rsidRDefault="00D47CE9" w:rsidP="00C30935">
            <w:pPr>
              <w:spacing w:line="259" w:lineRule="auto"/>
              <w:ind w:left="178"/>
              <w:jc w:val="both"/>
            </w:pPr>
            <w:r>
              <w:t>kg m</w:t>
            </w:r>
            <w:r>
              <w:rPr>
                <w:vertAlign w:val="superscript"/>
              </w:rPr>
              <w:t>-3</w:t>
            </w:r>
          </w:p>
        </w:tc>
        <w:tc>
          <w:tcPr>
            <w:tcW w:w="1728" w:type="dxa"/>
            <w:tcBorders>
              <w:top w:val="nil"/>
              <w:left w:val="nil"/>
              <w:bottom w:val="nil"/>
              <w:right w:val="nil"/>
            </w:tcBorders>
          </w:tcPr>
          <w:p w:rsidR="00D47CE9" w:rsidRDefault="00D47CE9" w:rsidP="00C30935">
            <w:pPr>
              <w:spacing w:line="259" w:lineRule="auto"/>
              <w:ind w:left="149"/>
              <w:jc w:val="both"/>
            </w:pPr>
            <w:r>
              <w:t>1.000 kg m</w:t>
            </w:r>
            <w:r>
              <w:rPr>
                <w:vertAlign w:val="superscript"/>
              </w:rPr>
              <w:t>-3</w:t>
            </w:r>
          </w:p>
        </w:tc>
      </w:tr>
      <w:tr w:rsidR="00D47CE9" w:rsidTr="00F06BBC">
        <w:trPr>
          <w:trHeight w:val="322"/>
        </w:trPr>
        <w:tc>
          <w:tcPr>
            <w:tcW w:w="3547" w:type="dxa"/>
            <w:tcBorders>
              <w:top w:val="nil"/>
              <w:left w:val="nil"/>
              <w:bottom w:val="nil"/>
              <w:right w:val="nil"/>
            </w:tcBorders>
          </w:tcPr>
          <w:p w:rsidR="00D47CE9" w:rsidRDefault="00D47CE9" w:rsidP="00C30935">
            <w:pPr>
              <w:spacing w:line="259" w:lineRule="auto"/>
              <w:ind w:left="125"/>
              <w:jc w:val="both"/>
            </w:pPr>
            <w:r>
              <w:t>Força</w:t>
            </w:r>
          </w:p>
        </w:tc>
        <w:tc>
          <w:tcPr>
            <w:tcW w:w="2659" w:type="dxa"/>
            <w:tcBorders>
              <w:top w:val="nil"/>
              <w:left w:val="nil"/>
              <w:bottom w:val="nil"/>
              <w:right w:val="nil"/>
            </w:tcBorders>
          </w:tcPr>
          <w:p w:rsidR="00D47CE9" w:rsidRDefault="00D47CE9" w:rsidP="00C30935">
            <w:pPr>
              <w:spacing w:line="259" w:lineRule="auto"/>
              <w:ind w:left="763"/>
              <w:jc w:val="both"/>
            </w:pPr>
            <w:r>
              <w:t>newton</w:t>
            </w:r>
          </w:p>
        </w:tc>
        <w:tc>
          <w:tcPr>
            <w:tcW w:w="1368" w:type="dxa"/>
            <w:tcBorders>
              <w:top w:val="nil"/>
              <w:left w:val="nil"/>
              <w:bottom w:val="nil"/>
              <w:right w:val="nil"/>
            </w:tcBorders>
          </w:tcPr>
          <w:p w:rsidR="00D47CE9" w:rsidRDefault="00D47CE9" w:rsidP="00C30935">
            <w:pPr>
              <w:spacing w:line="259" w:lineRule="auto"/>
              <w:ind w:left="403"/>
              <w:jc w:val="both"/>
            </w:pPr>
            <w:r>
              <w:t>N</w:t>
            </w:r>
          </w:p>
        </w:tc>
        <w:tc>
          <w:tcPr>
            <w:tcW w:w="1728" w:type="dxa"/>
            <w:tcBorders>
              <w:top w:val="nil"/>
              <w:left w:val="nil"/>
              <w:bottom w:val="nil"/>
              <w:right w:val="nil"/>
            </w:tcBorders>
          </w:tcPr>
          <w:p w:rsidR="00D47CE9" w:rsidRDefault="00D47CE9" w:rsidP="00C30935">
            <w:pPr>
              <w:spacing w:line="259" w:lineRule="auto"/>
              <w:ind w:left="523"/>
              <w:jc w:val="both"/>
            </w:pPr>
            <w:r>
              <w:t>15 N</w:t>
            </w:r>
          </w:p>
        </w:tc>
      </w:tr>
      <w:tr w:rsidR="00D47CE9" w:rsidTr="00F06BBC">
        <w:trPr>
          <w:trHeight w:val="360"/>
        </w:trPr>
        <w:tc>
          <w:tcPr>
            <w:tcW w:w="3547" w:type="dxa"/>
            <w:tcBorders>
              <w:top w:val="nil"/>
              <w:left w:val="nil"/>
              <w:bottom w:val="nil"/>
              <w:right w:val="nil"/>
            </w:tcBorders>
          </w:tcPr>
          <w:p w:rsidR="00D47CE9" w:rsidRDefault="00D47CE9" w:rsidP="00C30935">
            <w:pPr>
              <w:spacing w:line="259" w:lineRule="auto"/>
              <w:ind w:left="125"/>
              <w:jc w:val="both"/>
            </w:pPr>
            <w:r>
              <w:t>Pressão</w:t>
            </w:r>
          </w:p>
        </w:tc>
        <w:tc>
          <w:tcPr>
            <w:tcW w:w="2659" w:type="dxa"/>
            <w:tcBorders>
              <w:top w:val="nil"/>
              <w:left w:val="nil"/>
              <w:bottom w:val="nil"/>
              <w:right w:val="nil"/>
            </w:tcBorders>
          </w:tcPr>
          <w:p w:rsidR="00D47CE9" w:rsidRDefault="00D47CE9" w:rsidP="00C30935">
            <w:pPr>
              <w:spacing w:line="259" w:lineRule="auto"/>
              <w:ind w:left="816"/>
              <w:jc w:val="both"/>
            </w:pPr>
            <w:r>
              <w:t>pascal</w:t>
            </w:r>
          </w:p>
        </w:tc>
        <w:tc>
          <w:tcPr>
            <w:tcW w:w="1368" w:type="dxa"/>
            <w:tcBorders>
              <w:top w:val="nil"/>
              <w:left w:val="nil"/>
              <w:bottom w:val="nil"/>
              <w:right w:val="nil"/>
            </w:tcBorders>
          </w:tcPr>
          <w:p w:rsidR="00D47CE9" w:rsidRDefault="00D47CE9" w:rsidP="00C30935">
            <w:pPr>
              <w:spacing w:line="259" w:lineRule="auto"/>
              <w:ind w:left="370"/>
              <w:jc w:val="both"/>
            </w:pPr>
            <w:r>
              <w:t>Pa</w:t>
            </w:r>
          </w:p>
        </w:tc>
        <w:tc>
          <w:tcPr>
            <w:tcW w:w="1728" w:type="dxa"/>
            <w:tcBorders>
              <w:top w:val="nil"/>
              <w:left w:val="nil"/>
              <w:bottom w:val="nil"/>
              <w:right w:val="nil"/>
            </w:tcBorders>
          </w:tcPr>
          <w:p w:rsidR="00D47CE9" w:rsidRDefault="00D47CE9" w:rsidP="00C30935">
            <w:pPr>
              <w:spacing w:line="259" w:lineRule="auto"/>
              <w:ind w:left="149"/>
              <w:jc w:val="both"/>
            </w:pPr>
            <w:r>
              <w:t>1,013.10</w:t>
            </w:r>
            <w:r>
              <w:rPr>
                <w:vertAlign w:val="superscript"/>
              </w:rPr>
              <w:t>5</w:t>
            </w:r>
            <w:r>
              <w:t xml:space="preserve"> Pa</w:t>
            </w: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Energia</w:t>
            </w:r>
          </w:p>
        </w:tc>
        <w:tc>
          <w:tcPr>
            <w:tcW w:w="2659" w:type="dxa"/>
            <w:tcBorders>
              <w:top w:val="nil"/>
              <w:left w:val="nil"/>
              <w:bottom w:val="nil"/>
              <w:right w:val="nil"/>
            </w:tcBorders>
          </w:tcPr>
          <w:p w:rsidR="00D47CE9" w:rsidRDefault="00D47CE9" w:rsidP="00C30935">
            <w:pPr>
              <w:spacing w:line="259" w:lineRule="auto"/>
              <w:ind w:left="878"/>
              <w:jc w:val="both"/>
            </w:pPr>
            <w:r>
              <w:t>joule</w:t>
            </w:r>
          </w:p>
        </w:tc>
        <w:tc>
          <w:tcPr>
            <w:tcW w:w="1368" w:type="dxa"/>
            <w:tcBorders>
              <w:top w:val="nil"/>
              <w:left w:val="nil"/>
              <w:bottom w:val="nil"/>
              <w:right w:val="nil"/>
            </w:tcBorders>
          </w:tcPr>
          <w:p w:rsidR="00D47CE9" w:rsidRDefault="00D47CE9" w:rsidP="00C30935">
            <w:pPr>
              <w:spacing w:line="259" w:lineRule="auto"/>
              <w:ind w:left="442"/>
              <w:jc w:val="both"/>
            </w:pPr>
            <w:r>
              <w:t>J</w:t>
            </w:r>
          </w:p>
        </w:tc>
        <w:tc>
          <w:tcPr>
            <w:tcW w:w="1728" w:type="dxa"/>
            <w:tcBorders>
              <w:top w:val="nil"/>
              <w:left w:val="nil"/>
              <w:bottom w:val="nil"/>
              <w:right w:val="nil"/>
            </w:tcBorders>
          </w:tcPr>
          <w:p w:rsidR="00D47CE9" w:rsidRDefault="00D47CE9" w:rsidP="00C30935">
            <w:pPr>
              <w:spacing w:line="259" w:lineRule="auto"/>
              <w:ind w:left="624"/>
              <w:jc w:val="both"/>
            </w:pPr>
            <w:r>
              <w:t>4 J</w:t>
            </w:r>
          </w:p>
        </w:tc>
      </w:tr>
      <w:tr w:rsidR="00D47CE9" w:rsidTr="00F06BBC">
        <w:trPr>
          <w:trHeight w:val="322"/>
        </w:trPr>
        <w:tc>
          <w:tcPr>
            <w:tcW w:w="3547" w:type="dxa"/>
            <w:tcBorders>
              <w:top w:val="nil"/>
              <w:left w:val="nil"/>
              <w:bottom w:val="nil"/>
              <w:right w:val="nil"/>
            </w:tcBorders>
          </w:tcPr>
          <w:p w:rsidR="00D47CE9" w:rsidRDefault="00D47CE9" w:rsidP="00C30935">
            <w:pPr>
              <w:spacing w:line="259" w:lineRule="auto"/>
              <w:ind w:left="125"/>
              <w:jc w:val="both"/>
            </w:pPr>
            <w:r>
              <w:t>Potência</w:t>
            </w:r>
          </w:p>
        </w:tc>
        <w:tc>
          <w:tcPr>
            <w:tcW w:w="2659" w:type="dxa"/>
            <w:tcBorders>
              <w:top w:val="nil"/>
              <w:left w:val="nil"/>
              <w:bottom w:val="nil"/>
              <w:right w:val="nil"/>
            </w:tcBorders>
          </w:tcPr>
          <w:p w:rsidR="00D47CE9" w:rsidRDefault="00D47CE9" w:rsidP="00C30935">
            <w:pPr>
              <w:spacing w:line="259" w:lineRule="auto"/>
              <w:ind w:left="912"/>
              <w:jc w:val="both"/>
            </w:pPr>
            <w:r>
              <w:t>watt</w:t>
            </w:r>
          </w:p>
        </w:tc>
        <w:tc>
          <w:tcPr>
            <w:tcW w:w="1368" w:type="dxa"/>
            <w:tcBorders>
              <w:top w:val="nil"/>
              <w:left w:val="nil"/>
              <w:bottom w:val="nil"/>
              <w:right w:val="nil"/>
            </w:tcBorders>
          </w:tcPr>
          <w:p w:rsidR="00D47CE9" w:rsidRDefault="00D47CE9" w:rsidP="00C30935">
            <w:pPr>
              <w:spacing w:line="259" w:lineRule="auto"/>
              <w:ind w:left="374"/>
              <w:jc w:val="both"/>
            </w:pPr>
            <w:r>
              <w:t>W</w:t>
            </w:r>
          </w:p>
        </w:tc>
        <w:tc>
          <w:tcPr>
            <w:tcW w:w="1728" w:type="dxa"/>
            <w:tcBorders>
              <w:top w:val="nil"/>
              <w:left w:val="nil"/>
              <w:bottom w:val="nil"/>
              <w:right w:val="nil"/>
            </w:tcBorders>
          </w:tcPr>
          <w:p w:rsidR="00D47CE9" w:rsidRDefault="00D47CE9" w:rsidP="00C30935">
            <w:pPr>
              <w:spacing w:line="259" w:lineRule="auto"/>
              <w:ind w:left="437"/>
              <w:jc w:val="both"/>
            </w:pPr>
            <w:r>
              <w:t>500 W</w:t>
            </w:r>
          </w:p>
        </w:tc>
      </w:tr>
      <w:tr w:rsidR="00D47CE9" w:rsidTr="00F06BBC">
        <w:trPr>
          <w:trHeight w:val="338"/>
        </w:trPr>
        <w:tc>
          <w:tcPr>
            <w:tcW w:w="3547" w:type="dxa"/>
            <w:tcBorders>
              <w:top w:val="nil"/>
              <w:left w:val="nil"/>
              <w:bottom w:val="nil"/>
              <w:right w:val="nil"/>
            </w:tcBorders>
          </w:tcPr>
          <w:p w:rsidR="00D47CE9" w:rsidRDefault="00D47CE9" w:rsidP="00C30935">
            <w:pPr>
              <w:spacing w:line="259" w:lineRule="auto"/>
              <w:ind w:left="125"/>
              <w:jc w:val="both"/>
            </w:pPr>
            <w:r>
              <w:t>Calor especifico</w:t>
            </w:r>
          </w:p>
        </w:tc>
        <w:tc>
          <w:tcPr>
            <w:tcW w:w="2659" w:type="dxa"/>
            <w:tcBorders>
              <w:top w:val="nil"/>
              <w:left w:val="nil"/>
              <w:bottom w:val="nil"/>
              <w:right w:val="nil"/>
            </w:tcBorders>
          </w:tcPr>
          <w:p w:rsidR="00D47CE9" w:rsidRDefault="00D47CE9" w:rsidP="00C30935">
            <w:pPr>
              <w:spacing w:line="259" w:lineRule="auto"/>
              <w:ind w:left="998"/>
              <w:jc w:val="both"/>
            </w:pPr>
            <w:r>
              <w:t>---</w:t>
            </w:r>
          </w:p>
        </w:tc>
        <w:tc>
          <w:tcPr>
            <w:tcW w:w="1368" w:type="dxa"/>
            <w:tcBorders>
              <w:top w:val="nil"/>
              <w:left w:val="nil"/>
              <w:bottom w:val="nil"/>
              <w:right w:val="nil"/>
            </w:tcBorders>
          </w:tcPr>
          <w:p w:rsidR="00D47CE9" w:rsidRDefault="00D47CE9" w:rsidP="00C30935">
            <w:pPr>
              <w:spacing w:line="259" w:lineRule="auto"/>
              <w:jc w:val="both"/>
            </w:pPr>
            <w:r>
              <w:t>J (kg ºC)</w:t>
            </w:r>
            <w:r>
              <w:rPr>
                <w:vertAlign w:val="superscript"/>
              </w:rPr>
              <w:t>-1</w:t>
            </w:r>
          </w:p>
        </w:tc>
        <w:tc>
          <w:tcPr>
            <w:tcW w:w="1728" w:type="dxa"/>
            <w:tcBorders>
              <w:top w:val="nil"/>
              <w:left w:val="nil"/>
              <w:bottom w:val="nil"/>
              <w:right w:val="nil"/>
            </w:tcBorders>
          </w:tcPr>
          <w:p w:rsidR="00D47CE9" w:rsidRDefault="00D47CE9" w:rsidP="00C30935">
            <w:pPr>
              <w:spacing w:line="259" w:lineRule="auto"/>
              <w:jc w:val="both"/>
            </w:pPr>
            <w:r>
              <w:t>4186 J (kg ºC)</w:t>
            </w:r>
            <w:r>
              <w:rPr>
                <w:vertAlign w:val="superscript"/>
              </w:rPr>
              <w:t>-1</w:t>
            </w:r>
          </w:p>
        </w:tc>
      </w:tr>
      <w:tr w:rsidR="00D47CE9" w:rsidTr="00F06BBC">
        <w:trPr>
          <w:trHeight w:val="357"/>
        </w:trPr>
        <w:tc>
          <w:tcPr>
            <w:tcW w:w="3547" w:type="dxa"/>
            <w:tcBorders>
              <w:top w:val="nil"/>
              <w:left w:val="nil"/>
              <w:bottom w:val="nil"/>
              <w:right w:val="nil"/>
            </w:tcBorders>
          </w:tcPr>
          <w:p w:rsidR="00D47CE9" w:rsidRDefault="00D47CE9" w:rsidP="00C30935">
            <w:pPr>
              <w:spacing w:line="259" w:lineRule="auto"/>
              <w:ind w:left="125"/>
              <w:jc w:val="both"/>
            </w:pPr>
            <w:r>
              <w:t>Calor latente</w:t>
            </w:r>
          </w:p>
        </w:tc>
        <w:tc>
          <w:tcPr>
            <w:tcW w:w="2659" w:type="dxa"/>
            <w:tcBorders>
              <w:top w:val="nil"/>
              <w:left w:val="nil"/>
              <w:bottom w:val="nil"/>
              <w:right w:val="nil"/>
            </w:tcBorders>
          </w:tcPr>
          <w:p w:rsidR="00D47CE9" w:rsidRDefault="00D47CE9" w:rsidP="00C30935">
            <w:pPr>
              <w:spacing w:line="259" w:lineRule="auto"/>
              <w:ind w:left="998"/>
              <w:jc w:val="both"/>
            </w:pPr>
            <w:r>
              <w:t>---</w:t>
            </w:r>
          </w:p>
        </w:tc>
        <w:tc>
          <w:tcPr>
            <w:tcW w:w="1368" w:type="dxa"/>
            <w:tcBorders>
              <w:top w:val="nil"/>
              <w:left w:val="nil"/>
              <w:bottom w:val="nil"/>
              <w:right w:val="nil"/>
            </w:tcBorders>
          </w:tcPr>
          <w:p w:rsidR="00D47CE9" w:rsidRDefault="00D47CE9" w:rsidP="00C30935">
            <w:pPr>
              <w:spacing w:line="259" w:lineRule="auto"/>
              <w:ind w:left="226"/>
              <w:jc w:val="both"/>
            </w:pPr>
            <w:r>
              <w:t>J kg</w:t>
            </w:r>
            <w:r>
              <w:rPr>
                <w:vertAlign w:val="superscript"/>
              </w:rPr>
              <w:t>-1</w:t>
            </w:r>
          </w:p>
        </w:tc>
        <w:tc>
          <w:tcPr>
            <w:tcW w:w="1728" w:type="dxa"/>
            <w:tcBorders>
              <w:top w:val="nil"/>
              <w:left w:val="nil"/>
              <w:bottom w:val="nil"/>
              <w:right w:val="nil"/>
            </w:tcBorders>
          </w:tcPr>
          <w:p w:rsidR="00D47CE9" w:rsidRDefault="00D47CE9" w:rsidP="00C30935">
            <w:pPr>
              <w:spacing w:line="259" w:lineRule="auto"/>
              <w:ind w:left="38"/>
              <w:jc w:val="both"/>
            </w:pPr>
            <w:r>
              <w:t>2,26. 10</w:t>
            </w:r>
            <w:r>
              <w:rPr>
                <w:vertAlign w:val="superscript"/>
              </w:rPr>
              <w:t>6</w:t>
            </w:r>
            <w:r>
              <w:t xml:space="preserve"> J kg</w:t>
            </w:r>
            <w:r>
              <w:rPr>
                <w:vertAlign w:val="superscript"/>
              </w:rPr>
              <w:t>-1</w:t>
            </w: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Carga elétrica</w:t>
            </w:r>
          </w:p>
        </w:tc>
        <w:tc>
          <w:tcPr>
            <w:tcW w:w="2659" w:type="dxa"/>
            <w:tcBorders>
              <w:top w:val="nil"/>
              <w:left w:val="nil"/>
              <w:bottom w:val="nil"/>
              <w:right w:val="nil"/>
            </w:tcBorders>
          </w:tcPr>
          <w:p w:rsidR="00D47CE9" w:rsidRDefault="00D47CE9" w:rsidP="00C30935">
            <w:pPr>
              <w:spacing w:line="259" w:lineRule="auto"/>
              <w:ind w:left="696"/>
              <w:jc w:val="both"/>
            </w:pPr>
            <w:r>
              <w:t>coulomb</w:t>
            </w:r>
          </w:p>
        </w:tc>
        <w:tc>
          <w:tcPr>
            <w:tcW w:w="1368" w:type="dxa"/>
            <w:tcBorders>
              <w:top w:val="nil"/>
              <w:left w:val="nil"/>
              <w:bottom w:val="nil"/>
              <w:right w:val="nil"/>
            </w:tcBorders>
          </w:tcPr>
          <w:p w:rsidR="00D47CE9" w:rsidRDefault="00D47CE9" w:rsidP="00C30935">
            <w:pPr>
              <w:spacing w:line="259" w:lineRule="auto"/>
              <w:ind w:left="408"/>
              <w:jc w:val="both"/>
            </w:pPr>
            <w:r>
              <w:t>C</w:t>
            </w:r>
          </w:p>
        </w:tc>
        <w:tc>
          <w:tcPr>
            <w:tcW w:w="1728" w:type="dxa"/>
            <w:tcBorders>
              <w:top w:val="nil"/>
              <w:left w:val="nil"/>
              <w:bottom w:val="nil"/>
              <w:right w:val="nil"/>
            </w:tcBorders>
          </w:tcPr>
          <w:p w:rsidR="00D47CE9" w:rsidRDefault="00D47CE9" w:rsidP="00C30935">
            <w:pPr>
              <w:spacing w:line="259" w:lineRule="auto"/>
              <w:ind w:left="590"/>
              <w:jc w:val="both"/>
            </w:pPr>
            <w:r>
              <w:t>1 C</w:t>
            </w: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Potencial elétrico</w:t>
            </w:r>
          </w:p>
        </w:tc>
        <w:tc>
          <w:tcPr>
            <w:tcW w:w="2659" w:type="dxa"/>
            <w:tcBorders>
              <w:top w:val="nil"/>
              <w:left w:val="nil"/>
              <w:bottom w:val="nil"/>
              <w:right w:val="nil"/>
            </w:tcBorders>
          </w:tcPr>
          <w:p w:rsidR="00D47CE9" w:rsidRDefault="00D47CE9" w:rsidP="00C30935">
            <w:pPr>
              <w:spacing w:line="259" w:lineRule="auto"/>
              <w:ind w:left="931"/>
              <w:jc w:val="both"/>
            </w:pPr>
            <w:r>
              <w:t>volt</w:t>
            </w:r>
          </w:p>
        </w:tc>
        <w:tc>
          <w:tcPr>
            <w:tcW w:w="1368" w:type="dxa"/>
            <w:tcBorders>
              <w:top w:val="nil"/>
              <w:left w:val="nil"/>
              <w:bottom w:val="nil"/>
              <w:right w:val="nil"/>
            </w:tcBorders>
          </w:tcPr>
          <w:p w:rsidR="00D47CE9" w:rsidRDefault="00D47CE9" w:rsidP="00C30935">
            <w:pPr>
              <w:spacing w:line="259" w:lineRule="auto"/>
              <w:ind w:left="403"/>
              <w:jc w:val="both"/>
            </w:pPr>
            <w:r>
              <w:t>V</w:t>
            </w:r>
          </w:p>
        </w:tc>
        <w:tc>
          <w:tcPr>
            <w:tcW w:w="1728" w:type="dxa"/>
            <w:tcBorders>
              <w:top w:val="nil"/>
              <w:left w:val="nil"/>
              <w:bottom w:val="nil"/>
              <w:right w:val="nil"/>
            </w:tcBorders>
          </w:tcPr>
          <w:p w:rsidR="00D47CE9" w:rsidRDefault="00D47CE9" w:rsidP="00C30935">
            <w:pPr>
              <w:spacing w:line="259" w:lineRule="auto"/>
              <w:ind w:left="523"/>
              <w:jc w:val="both"/>
            </w:pPr>
            <w:r>
              <w:t>25 V</w:t>
            </w:r>
          </w:p>
        </w:tc>
      </w:tr>
      <w:tr w:rsidR="00D47CE9" w:rsidTr="00F06BBC">
        <w:trPr>
          <w:trHeight w:val="322"/>
        </w:trPr>
        <w:tc>
          <w:tcPr>
            <w:tcW w:w="3547" w:type="dxa"/>
            <w:tcBorders>
              <w:top w:val="nil"/>
              <w:left w:val="nil"/>
              <w:bottom w:val="nil"/>
              <w:right w:val="nil"/>
            </w:tcBorders>
          </w:tcPr>
          <w:p w:rsidR="00D47CE9" w:rsidRDefault="00D47CE9" w:rsidP="00C30935">
            <w:pPr>
              <w:spacing w:line="259" w:lineRule="auto"/>
              <w:ind w:left="125"/>
              <w:jc w:val="both"/>
            </w:pPr>
            <w:r>
              <w:t>Resistência elétrica</w:t>
            </w:r>
          </w:p>
        </w:tc>
        <w:tc>
          <w:tcPr>
            <w:tcW w:w="2659" w:type="dxa"/>
            <w:tcBorders>
              <w:top w:val="nil"/>
              <w:left w:val="nil"/>
              <w:bottom w:val="nil"/>
              <w:right w:val="nil"/>
            </w:tcBorders>
          </w:tcPr>
          <w:p w:rsidR="00D47CE9" w:rsidRDefault="00D47CE9" w:rsidP="00C30935">
            <w:pPr>
              <w:spacing w:line="259" w:lineRule="auto"/>
              <w:ind w:left="902"/>
              <w:jc w:val="both"/>
            </w:pPr>
            <w:r>
              <w:t>ohm</w:t>
            </w:r>
          </w:p>
        </w:tc>
        <w:tc>
          <w:tcPr>
            <w:tcW w:w="1368" w:type="dxa"/>
            <w:tcBorders>
              <w:top w:val="nil"/>
              <w:left w:val="nil"/>
              <w:bottom w:val="nil"/>
              <w:right w:val="nil"/>
            </w:tcBorders>
          </w:tcPr>
          <w:p w:rsidR="00D47CE9" w:rsidRDefault="00D47CE9" w:rsidP="00C30935">
            <w:pPr>
              <w:spacing w:line="259" w:lineRule="auto"/>
              <w:ind w:left="398"/>
              <w:jc w:val="both"/>
            </w:pPr>
            <w:r>
              <w:rPr>
                <w:rFonts w:ascii="Times New Roman" w:eastAsia="Times New Roman" w:hAnsi="Times New Roman" w:cs="Times New Roman"/>
              </w:rPr>
              <w:t>Ω</w:t>
            </w:r>
          </w:p>
        </w:tc>
        <w:tc>
          <w:tcPr>
            <w:tcW w:w="1728" w:type="dxa"/>
            <w:tcBorders>
              <w:top w:val="nil"/>
              <w:left w:val="nil"/>
              <w:bottom w:val="nil"/>
              <w:right w:val="nil"/>
            </w:tcBorders>
          </w:tcPr>
          <w:p w:rsidR="00D47CE9" w:rsidRDefault="00D47CE9" w:rsidP="00C30935">
            <w:pPr>
              <w:spacing w:line="259" w:lineRule="auto"/>
              <w:ind w:left="518"/>
              <w:jc w:val="both"/>
            </w:pPr>
            <w:r>
              <w:t xml:space="preserve">29 </w:t>
            </w:r>
            <w:r>
              <w:rPr>
                <w:rFonts w:ascii="Times New Roman" w:eastAsia="Times New Roman" w:hAnsi="Times New Roman" w:cs="Times New Roman"/>
              </w:rPr>
              <w:t>Ω</w:t>
            </w:r>
          </w:p>
        </w:tc>
      </w:tr>
      <w:tr w:rsidR="00D47CE9" w:rsidTr="00F06BBC">
        <w:trPr>
          <w:trHeight w:val="341"/>
        </w:trPr>
        <w:tc>
          <w:tcPr>
            <w:tcW w:w="3547" w:type="dxa"/>
            <w:tcBorders>
              <w:top w:val="nil"/>
              <w:left w:val="nil"/>
              <w:bottom w:val="nil"/>
              <w:right w:val="nil"/>
            </w:tcBorders>
          </w:tcPr>
          <w:p w:rsidR="00D47CE9" w:rsidRDefault="00D47CE9" w:rsidP="00C30935">
            <w:pPr>
              <w:spacing w:line="259" w:lineRule="auto"/>
              <w:ind w:left="125"/>
              <w:jc w:val="both"/>
            </w:pPr>
            <w:r>
              <w:t>Intensidade de energia</w:t>
            </w:r>
          </w:p>
        </w:tc>
        <w:tc>
          <w:tcPr>
            <w:tcW w:w="2659" w:type="dxa"/>
            <w:tcBorders>
              <w:top w:val="nil"/>
              <w:left w:val="nil"/>
              <w:bottom w:val="nil"/>
              <w:right w:val="nil"/>
            </w:tcBorders>
          </w:tcPr>
          <w:p w:rsidR="00D47CE9" w:rsidRDefault="00D47CE9" w:rsidP="00C30935">
            <w:pPr>
              <w:spacing w:line="259" w:lineRule="auto"/>
              <w:jc w:val="both"/>
            </w:pPr>
            <w:r>
              <w:t>Watts/metros quadrado</w:t>
            </w:r>
          </w:p>
        </w:tc>
        <w:tc>
          <w:tcPr>
            <w:tcW w:w="1368" w:type="dxa"/>
            <w:tcBorders>
              <w:top w:val="nil"/>
              <w:left w:val="nil"/>
              <w:bottom w:val="nil"/>
              <w:right w:val="nil"/>
            </w:tcBorders>
          </w:tcPr>
          <w:p w:rsidR="00D47CE9" w:rsidRDefault="00D47CE9" w:rsidP="00C30935">
            <w:pPr>
              <w:spacing w:line="259" w:lineRule="auto"/>
              <w:ind w:left="187"/>
              <w:jc w:val="both"/>
            </w:pPr>
            <w:r>
              <w:t>W m</w:t>
            </w:r>
            <w:r>
              <w:rPr>
                <w:vertAlign w:val="superscript"/>
              </w:rPr>
              <w:t>-2</w:t>
            </w:r>
          </w:p>
        </w:tc>
        <w:tc>
          <w:tcPr>
            <w:tcW w:w="1728" w:type="dxa"/>
            <w:tcBorders>
              <w:top w:val="nil"/>
              <w:left w:val="nil"/>
              <w:bottom w:val="nil"/>
              <w:right w:val="nil"/>
            </w:tcBorders>
          </w:tcPr>
          <w:p w:rsidR="00D47CE9" w:rsidRDefault="00D47CE9" w:rsidP="00C30935">
            <w:pPr>
              <w:spacing w:line="259" w:lineRule="auto"/>
              <w:ind w:left="158"/>
              <w:jc w:val="both"/>
            </w:pPr>
            <w:r>
              <w:t>1.372 W m</w:t>
            </w:r>
            <w:r>
              <w:rPr>
                <w:vertAlign w:val="superscript"/>
              </w:rPr>
              <w:t>-2</w:t>
            </w:r>
          </w:p>
        </w:tc>
      </w:tr>
      <w:tr w:rsidR="00D47CE9" w:rsidTr="00F06BBC">
        <w:trPr>
          <w:trHeight w:val="357"/>
        </w:trPr>
        <w:tc>
          <w:tcPr>
            <w:tcW w:w="3547" w:type="dxa"/>
            <w:tcBorders>
              <w:top w:val="nil"/>
              <w:left w:val="nil"/>
              <w:bottom w:val="nil"/>
              <w:right w:val="nil"/>
            </w:tcBorders>
          </w:tcPr>
          <w:p w:rsidR="00D47CE9" w:rsidRDefault="00D47CE9" w:rsidP="00C30935">
            <w:pPr>
              <w:spacing w:line="259" w:lineRule="auto"/>
              <w:ind w:left="125"/>
              <w:jc w:val="both"/>
            </w:pPr>
            <w:r>
              <w:t>Concentração</w:t>
            </w:r>
          </w:p>
        </w:tc>
        <w:tc>
          <w:tcPr>
            <w:tcW w:w="2659" w:type="dxa"/>
            <w:tcBorders>
              <w:top w:val="nil"/>
              <w:left w:val="nil"/>
              <w:bottom w:val="nil"/>
              <w:right w:val="nil"/>
            </w:tcBorders>
          </w:tcPr>
          <w:p w:rsidR="00D47CE9" w:rsidRDefault="00D47CE9" w:rsidP="00C30935">
            <w:pPr>
              <w:spacing w:line="259" w:lineRule="auto"/>
              <w:ind w:left="269"/>
              <w:jc w:val="both"/>
            </w:pPr>
            <w:r>
              <w:t>mol/metro cúbico</w:t>
            </w:r>
          </w:p>
        </w:tc>
        <w:tc>
          <w:tcPr>
            <w:tcW w:w="1368" w:type="dxa"/>
            <w:tcBorders>
              <w:top w:val="nil"/>
              <w:left w:val="nil"/>
              <w:bottom w:val="nil"/>
              <w:right w:val="nil"/>
            </w:tcBorders>
          </w:tcPr>
          <w:p w:rsidR="00D47CE9" w:rsidRDefault="00D47CE9" w:rsidP="00C30935">
            <w:pPr>
              <w:spacing w:line="259" w:lineRule="auto"/>
              <w:ind w:left="110"/>
              <w:jc w:val="both"/>
            </w:pPr>
            <w:r>
              <w:t>mol m</w:t>
            </w:r>
            <w:r>
              <w:rPr>
                <w:vertAlign w:val="superscript"/>
              </w:rPr>
              <w:t>-3</w:t>
            </w:r>
          </w:p>
        </w:tc>
        <w:tc>
          <w:tcPr>
            <w:tcW w:w="1728" w:type="dxa"/>
            <w:tcBorders>
              <w:top w:val="nil"/>
              <w:left w:val="nil"/>
              <w:bottom w:val="nil"/>
              <w:right w:val="nil"/>
            </w:tcBorders>
          </w:tcPr>
          <w:p w:rsidR="00D47CE9" w:rsidRDefault="00D47CE9" w:rsidP="00C30935">
            <w:pPr>
              <w:spacing w:line="259" w:lineRule="auto"/>
              <w:ind w:left="173"/>
              <w:jc w:val="both"/>
            </w:pPr>
            <w:r>
              <w:t>500 mol m</w:t>
            </w:r>
            <w:r>
              <w:rPr>
                <w:vertAlign w:val="superscript"/>
              </w:rPr>
              <w:t>-3</w:t>
            </w:r>
          </w:p>
        </w:tc>
      </w:tr>
      <w:tr w:rsidR="00D47CE9" w:rsidTr="00F06BBC">
        <w:trPr>
          <w:trHeight w:val="320"/>
        </w:trPr>
        <w:tc>
          <w:tcPr>
            <w:tcW w:w="3547" w:type="dxa"/>
            <w:tcBorders>
              <w:top w:val="nil"/>
              <w:left w:val="nil"/>
              <w:bottom w:val="nil"/>
              <w:right w:val="nil"/>
            </w:tcBorders>
          </w:tcPr>
          <w:p w:rsidR="00D47CE9" w:rsidRDefault="00D47CE9" w:rsidP="00C30935">
            <w:pPr>
              <w:spacing w:line="259" w:lineRule="auto"/>
              <w:ind w:left="125"/>
              <w:jc w:val="both"/>
            </w:pPr>
            <w:r>
              <w:t>Condutância elétrica</w:t>
            </w:r>
          </w:p>
        </w:tc>
        <w:tc>
          <w:tcPr>
            <w:tcW w:w="2659" w:type="dxa"/>
            <w:tcBorders>
              <w:top w:val="nil"/>
              <w:left w:val="nil"/>
              <w:bottom w:val="nil"/>
              <w:right w:val="nil"/>
            </w:tcBorders>
          </w:tcPr>
          <w:p w:rsidR="00D47CE9" w:rsidRDefault="00D47CE9" w:rsidP="00C30935">
            <w:pPr>
              <w:spacing w:line="259" w:lineRule="auto"/>
              <w:ind w:left="730"/>
              <w:jc w:val="both"/>
            </w:pPr>
            <w:r>
              <w:t>siemens</w:t>
            </w:r>
          </w:p>
        </w:tc>
        <w:tc>
          <w:tcPr>
            <w:tcW w:w="1368" w:type="dxa"/>
            <w:tcBorders>
              <w:top w:val="nil"/>
              <w:left w:val="nil"/>
              <w:bottom w:val="nil"/>
              <w:right w:val="nil"/>
            </w:tcBorders>
          </w:tcPr>
          <w:p w:rsidR="00D47CE9" w:rsidRDefault="00D47CE9" w:rsidP="00C30935">
            <w:pPr>
              <w:spacing w:line="259" w:lineRule="auto"/>
              <w:ind w:left="422"/>
              <w:jc w:val="both"/>
            </w:pPr>
            <w:r>
              <w:t>S</w:t>
            </w:r>
          </w:p>
        </w:tc>
        <w:tc>
          <w:tcPr>
            <w:tcW w:w="1728" w:type="dxa"/>
            <w:tcBorders>
              <w:top w:val="nil"/>
              <w:left w:val="nil"/>
              <w:bottom w:val="nil"/>
              <w:right w:val="nil"/>
            </w:tcBorders>
          </w:tcPr>
          <w:p w:rsidR="00D47CE9" w:rsidRDefault="00D47CE9" w:rsidP="00C30935">
            <w:pPr>
              <w:spacing w:line="259" w:lineRule="auto"/>
              <w:ind w:left="485"/>
              <w:jc w:val="both"/>
            </w:pPr>
            <w:r>
              <w:t>300 S</w:t>
            </w:r>
          </w:p>
        </w:tc>
      </w:tr>
      <w:tr w:rsidR="00D47CE9" w:rsidTr="00F06BBC">
        <w:trPr>
          <w:trHeight w:val="366"/>
        </w:trPr>
        <w:tc>
          <w:tcPr>
            <w:tcW w:w="3547" w:type="dxa"/>
            <w:tcBorders>
              <w:top w:val="nil"/>
              <w:left w:val="nil"/>
              <w:bottom w:val="single" w:sz="4" w:space="0" w:color="000000"/>
              <w:right w:val="nil"/>
            </w:tcBorders>
          </w:tcPr>
          <w:p w:rsidR="00D47CE9" w:rsidRDefault="00D47CE9" w:rsidP="00C30935">
            <w:pPr>
              <w:spacing w:line="259" w:lineRule="auto"/>
              <w:ind w:left="125"/>
              <w:jc w:val="both"/>
            </w:pPr>
            <w:r>
              <w:t>Condutividade elétrica</w:t>
            </w:r>
          </w:p>
        </w:tc>
        <w:tc>
          <w:tcPr>
            <w:tcW w:w="2659" w:type="dxa"/>
            <w:tcBorders>
              <w:top w:val="nil"/>
              <w:left w:val="nil"/>
              <w:bottom w:val="single" w:sz="4" w:space="0" w:color="000000"/>
              <w:right w:val="nil"/>
            </w:tcBorders>
          </w:tcPr>
          <w:p w:rsidR="00D47CE9" w:rsidRDefault="00D47CE9" w:rsidP="00C30935">
            <w:pPr>
              <w:spacing w:line="259" w:lineRule="auto"/>
              <w:ind w:left="302"/>
              <w:jc w:val="both"/>
            </w:pPr>
            <w:r>
              <w:t>desiemens/metro</w:t>
            </w:r>
          </w:p>
        </w:tc>
        <w:tc>
          <w:tcPr>
            <w:tcW w:w="1368" w:type="dxa"/>
            <w:tcBorders>
              <w:top w:val="nil"/>
              <w:left w:val="nil"/>
              <w:bottom w:val="single" w:sz="4" w:space="0" w:color="000000"/>
              <w:right w:val="nil"/>
            </w:tcBorders>
          </w:tcPr>
          <w:p w:rsidR="00D47CE9" w:rsidRDefault="00D47CE9" w:rsidP="00C30935">
            <w:pPr>
              <w:spacing w:line="259" w:lineRule="auto"/>
              <w:ind w:left="173"/>
              <w:jc w:val="both"/>
            </w:pPr>
            <w:r>
              <w:t>dS m</w:t>
            </w:r>
            <w:r>
              <w:rPr>
                <w:vertAlign w:val="superscript"/>
              </w:rPr>
              <w:t>-1</w:t>
            </w:r>
          </w:p>
        </w:tc>
        <w:tc>
          <w:tcPr>
            <w:tcW w:w="1728" w:type="dxa"/>
            <w:tcBorders>
              <w:top w:val="nil"/>
              <w:left w:val="nil"/>
              <w:bottom w:val="single" w:sz="4" w:space="0" w:color="000000"/>
              <w:right w:val="nil"/>
            </w:tcBorders>
          </w:tcPr>
          <w:p w:rsidR="00D47CE9" w:rsidRDefault="00D47CE9" w:rsidP="00C30935">
            <w:pPr>
              <w:spacing w:line="259" w:lineRule="auto"/>
              <w:ind w:left="355"/>
              <w:jc w:val="both"/>
            </w:pPr>
            <w:r>
              <w:t>5 dS m</w:t>
            </w:r>
            <w:r>
              <w:rPr>
                <w:vertAlign w:val="superscript"/>
              </w:rPr>
              <w:t>-1</w:t>
            </w:r>
          </w:p>
        </w:tc>
      </w:tr>
      <w:tr w:rsidR="00D47CE9" w:rsidTr="00F06BBC">
        <w:trPr>
          <w:trHeight w:val="337"/>
        </w:trPr>
        <w:tc>
          <w:tcPr>
            <w:tcW w:w="3547" w:type="dxa"/>
            <w:tcBorders>
              <w:top w:val="single" w:sz="4" w:space="0" w:color="000000"/>
              <w:left w:val="nil"/>
              <w:bottom w:val="nil"/>
              <w:right w:val="nil"/>
            </w:tcBorders>
          </w:tcPr>
          <w:p w:rsidR="00D47CE9" w:rsidRDefault="00D47CE9" w:rsidP="00C30935">
            <w:pPr>
              <w:spacing w:line="259" w:lineRule="auto"/>
              <w:ind w:left="125"/>
              <w:jc w:val="both"/>
            </w:pPr>
            <w:r>
              <w:t>Temperatura</w:t>
            </w:r>
          </w:p>
        </w:tc>
        <w:tc>
          <w:tcPr>
            <w:tcW w:w="2659" w:type="dxa"/>
            <w:tcBorders>
              <w:top w:val="single" w:sz="4" w:space="0" w:color="000000"/>
              <w:left w:val="nil"/>
              <w:bottom w:val="nil"/>
              <w:right w:val="nil"/>
            </w:tcBorders>
          </w:tcPr>
          <w:p w:rsidR="00D47CE9" w:rsidRDefault="00D47CE9" w:rsidP="00C30935">
            <w:pPr>
              <w:spacing w:line="259" w:lineRule="auto"/>
              <w:ind w:left="523"/>
              <w:jc w:val="both"/>
            </w:pPr>
            <w:r>
              <w:t>grau Celsius</w:t>
            </w:r>
          </w:p>
        </w:tc>
        <w:tc>
          <w:tcPr>
            <w:tcW w:w="1368" w:type="dxa"/>
            <w:tcBorders>
              <w:top w:val="single" w:sz="4" w:space="0" w:color="000000"/>
              <w:left w:val="nil"/>
              <w:bottom w:val="nil"/>
              <w:right w:val="nil"/>
            </w:tcBorders>
          </w:tcPr>
          <w:p w:rsidR="00D47CE9" w:rsidRDefault="00D47CE9" w:rsidP="00C30935">
            <w:pPr>
              <w:spacing w:line="259" w:lineRule="auto"/>
              <w:ind w:left="370"/>
              <w:jc w:val="both"/>
            </w:pPr>
            <w:r>
              <w:t>ºC</w:t>
            </w:r>
          </w:p>
        </w:tc>
        <w:tc>
          <w:tcPr>
            <w:tcW w:w="1728" w:type="dxa"/>
            <w:tcBorders>
              <w:top w:val="single" w:sz="4" w:space="0" w:color="000000"/>
              <w:left w:val="nil"/>
              <w:bottom w:val="nil"/>
              <w:right w:val="nil"/>
            </w:tcBorders>
          </w:tcPr>
          <w:p w:rsidR="00D47CE9" w:rsidRDefault="00D47CE9" w:rsidP="00C30935">
            <w:pPr>
              <w:spacing w:line="259" w:lineRule="auto"/>
              <w:ind w:left="494"/>
              <w:jc w:val="both"/>
            </w:pPr>
            <w:r>
              <w:t>25 ºC</w:t>
            </w:r>
          </w:p>
        </w:tc>
      </w:tr>
      <w:tr w:rsidR="00D47CE9" w:rsidTr="00F06BBC">
        <w:trPr>
          <w:trHeight w:val="338"/>
        </w:trPr>
        <w:tc>
          <w:tcPr>
            <w:tcW w:w="3547" w:type="dxa"/>
            <w:tcBorders>
              <w:top w:val="nil"/>
              <w:left w:val="nil"/>
              <w:bottom w:val="nil"/>
              <w:right w:val="nil"/>
            </w:tcBorders>
          </w:tcPr>
          <w:p w:rsidR="00D47CE9" w:rsidRDefault="00D47CE9" w:rsidP="00C30935">
            <w:pPr>
              <w:spacing w:line="259" w:lineRule="auto"/>
              <w:ind w:left="125"/>
              <w:jc w:val="both"/>
            </w:pPr>
            <w:r>
              <w:t>Ângulo</w:t>
            </w:r>
          </w:p>
        </w:tc>
        <w:tc>
          <w:tcPr>
            <w:tcW w:w="2659" w:type="dxa"/>
            <w:tcBorders>
              <w:top w:val="nil"/>
              <w:left w:val="nil"/>
              <w:bottom w:val="nil"/>
              <w:right w:val="nil"/>
            </w:tcBorders>
          </w:tcPr>
          <w:p w:rsidR="00D47CE9" w:rsidRDefault="00D47CE9" w:rsidP="00C30935">
            <w:pPr>
              <w:spacing w:line="259" w:lineRule="auto"/>
              <w:ind w:left="902"/>
              <w:jc w:val="both"/>
            </w:pPr>
            <w:r>
              <w:t>grau</w:t>
            </w:r>
          </w:p>
        </w:tc>
        <w:tc>
          <w:tcPr>
            <w:tcW w:w="1368" w:type="dxa"/>
            <w:tcBorders>
              <w:top w:val="nil"/>
              <w:left w:val="nil"/>
              <w:bottom w:val="nil"/>
              <w:right w:val="nil"/>
            </w:tcBorders>
          </w:tcPr>
          <w:p w:rsidR="00D47CE9" w:rsidRDefault="00D47CE9" w:rsidP="00C30935">
            <w:pPr>
              <w:spacing w:line="259" w:lineRule="auto"/>
              <w:ind w:left="451"/>
              <w:jc w:val="both"/>
            </w:pPr>
            <w:r>
              <w:t>º</w:t>
            </w:r>
          </w:p>
        </w:tc>
        <w:tc>
          <w:tcPr>
            <w:tcW w:w="1728" w:type="dxa"/>
            <w:tcBorders>
              <w:top w:val="nil"/>
              <w:left w:val="nil"/>
              <w:bottom w:val="nil"/>
              <w:right w:val="nil"/>
            </w:tcBorders>
          </w:tcPr>
          <w:p w:rsidR="00D47CE9" w:rsidRDefault="00D47CE9" w:rsidP="00C30935">
            <w:pPr>
              <w:spacing w:line="259" w:lineRule="auto"/>
              <w:ind w:left="605"/>
              <w:jc w:val="both"/>
            </w:pPr>
            <w:r>
              <w:t>30º</w:t>
            </w:r>
          </w:p>
        </w:tc>
      </w:tr>
      <w:tr w:rsidR="00D47CE9" w:rsidTr="00F06BBC">
        <w:trPr>
          <w:trHeight w:val="347"/>
        </w:trPr>
        <w:tc>
          <w:tcPr>
            <w:tcW w:w="3547" w:type="dxa"/>
            <w:tcBorders>
              <w:top w:val="nil"/>
              <w:left w:val="nil"/>
              <w:bottom w:val="single" w:sz="4" w:space="0" w:color="000000"/>
              <w:right w:val="nil"/>
            </w:tcBorders>
          </w:tcPr>
          <w:p w:rsidR="00D47CE9" w:rsidRDefault="00D47CE9" w:rsidP="00C30935">
            <w:pPr>
              <w:spacing w:line="259" w:lineRule="auto"/>
              <w:ind w:left="125"/>
              <w:jc w:val="both"/>
            </w:pPr>
            <w:r>
              <w:t>Percentagem</w:t>
            </w:r>
          </w:p>
        </w:tc>
        <w:tc>
          <w:tcPr>
            <w:tcW w:w="2659" w:type="dxa"/>
            <w:tcBorders>
              <w:top w:val="nil"/>
              <w:left w:val="nil"/>
              <w:bottom w:val="single" w:sz="4" w:space="0" w:color="000000"/>
              <w:right w:val="nil"/>
            </w:tcBorders>
          </w:tcPr>
          <w:p w:rsidR="00D47CE9" w:rsidRDefault="00D47CE9" w:rsidP="00C30935">
            <w:pPr>
              <w:spacing w:line="259" w:lineRule="auto"/>
              <w:ind w:left="998"/>
              <w:jc w:val="both"/>
            </w:pPr>
            <w:r>
              <w:t>---</w:t>
            </w:r>
          </w:p>
        </w:tc>
        <w:tc>
          <w:tcPr>
            <w:tcW w:w="1368" w:type="dxa"/>
            <w:tcBorders>
              <w:top w:val="nil"/>
              <w:left w:val="nil"/>
              <w:bottom w:val="single" w:sz="4" w:space="0" w:color="000000"/>
              <w:right w:val="nil"/>
            </w:tcBorders>
          </w:tcPr>
          <w:p w:rsidR="00D47CE9" w:rsidRDefault="00D47CE9" w:rsidP="00C30935">
            <w:pPr>
              <w:spacing w:line="259" w:lineRule="auto"/>
              <w:ind w:left="389"/>
              <w:jc w:val="both"/>
            </w:pPr>
            <w:r>
              <w:t>%</w:t>
            </w:r>
          </w:p>
        </w:tc>
        <w:tc>
          <w:tcPr>
            <w:tcW w:w="1728" w:type="dxa"/>
            <w:tcBorders>
              <w:top w:val="nil"/>
              <w:left w:val="nil"/>
              <w:bottom w:val="single" w:sz="4" w:space="0" w:color="000000"/>
              <w:right w:val="nil"/>
            </w:tcBorders>
          </w:tcPr>
          <w:p w:rsidR="00D47CE9" w:rsidRDefault="00D47CE9" w:rsidP="00C30935">
            <w:pPr>
              <w:spacing w:line="259" w:lineRule="auto"/>
              <w:ind w:left="538"/>
              <w:jc w:val="both"/>
            </w:pPr>
            <w:r>
              <w:t>45%</w:t>
            </w:r>
          </w:p>
        </w:tc>
      </w:tr>
    </w:tbl>
    <w:p w:rsidR="00D47CE9" w:rsidRPr="00C30935" w:rsidRDefault="00D47CE9" w:rsidP="008B4D0A">
      <w:pPr>
        <w:spacing w:after="10" w:line="249" w:lineRule="auto"/>
        <w:ind w:left="-5"/>
        <w:jc w:val="both"/>
        <w:rPr>
          <w:sz w:val="20"/>
          <w:szCs w:val="20"/>
        </w:rPr>
      </w:pPr>
      <w:r w:rsidRPr="00C30935">
        <w:rPr>
          <w:rFonts w:eastAsia="Times New Roman"/>
          <w:b/>
          <w:sz w:val="20"/>
          <w:szCs w:val="20"/>
        </w:rPr>
        <w:t>Números mencionados em seq</w:t>
      </w:r>
      <w:r w:rsidR="008B4D0A">
        <w:rPr>
          <w:rFonts w:eastAsia="Times New Roman"/>
          <w:b/>
          <w:sz w:val="20"/>
          <w:szCs w:val="20"/>
        </w:rPr>
        <w:t>u</w:t>
      </w:r>
      <w:r w:rsidRPr="00C30935">
        <w:rPr>
          <w:rFonts w:eastAsia="Times New Roman"/>
          <w:b/>
          <w:sz w:val="20"/>
          <w:szCs w:val="20"/>
        </w:rPr>
        <w:t>ência devem ser separados por ponto e vírgula (;)</w:t>
      </w:r>
      <w:r w:rsidRPr="00C30935">
        <w:rPr>
          <w:sz w:val="20"/>
          <w:szCs w:val="20"/>
        </w:rPr>
        <w:t>. Ex:</w:t>
      </w:r>
      <w:r w:rsidR="00C30935">
        <w:rPr>
          <w:sz w:val="20"/>
          <w:szCs w:val="20"/>
        </w:rPr>
        <w:t xml:space="preserve"> </w:t>
      </w:r>
      <w:r w:rsidRPr="00C30935">
        <w:rPr>
          <w:sz w:val="20"/>
          <w:szCs w:val="20"/>
        </w:rPr>
        <w:t>2,5; 4,8; 25,3.</w:t>
      </w:r>
    </w:p>
    <w:p w:rsidR="00D47CE9" w:rsidRDefault="00D47CE9" w:rsidP="00C30935">
      <w:pPr>
        <w:pStyle w:val="Ttulo1"/>
        <w:keepLines/>
        <w:spacing w:before="0" w:after="10" w:line="249" w:lineRule="auto"/>
        <w:ind w:left="227" w:hanging="242"/>
        <w:jc w:val="both"/>
      </w:pPr>
      <w:r>
        <w:t>Lista de verificação - Revista Ciência Agronômica</w:t>
      </w:r>
    </w:p>
    <w:p w:rsidR="00D47CE9" w:rsidRDefault="00D47CE9" w:rsidP="00C30935">
      <w:pPr>
        <w:ind w:left="-5"/>
        <w:jc w:val="both"/>
      </w:pPr>
      <w:r>
        <w:t xml:space="preserve">Visando a maior agilidade no processo de submissão de seu artigo, o Comitê Editorial da Revista Ciência Agronômica, elaborou uma lista de verificação para que o autor possa conferir toda a formatação do manuscrito de sua autoria, </w:t>
      </w:r>
      <w:r>
        <w:rPr>
          <w:rFonts w:eastAsia="Times New Roman"/>
          <w:b/>
        </w:rPr>
        <w:t xml:space="preserve">ANTES </w:t>
      </w:r>
      <w:r>
        <w:t xml:space="preserve">de submetê-lo para publicação. A lista foi elaborada de acordo com as normas da Revista Ciência Agronômica. Respostas </w:t>
      </w:r>
      <w:r>
        <w:rPr>
          <w:rFonts w:eastAsia="Times New Roman"/>
          <w:b/>
        </w:rPr>
        <w:t xml:space="preserve">NEGATIVAS </w:t>
      </w:r>
      <w:r>
        <w:t>significam que seu artigo ainda deve ser adaptado às normas da revista e a submissão de tais artigos implicará na sua devolução e retardo na tramitação.</w:t>
      </w:r>
    </w:p>
    <w:p w:rsidR="00D47CE9" w:rsidRDefault="00D47CE9" w:rsidP="00C30935">
      <w:pPr>
        <w:spacing w:after="271"/>
        <w:ind w:left="-5"/>
        <w:jc w:val="both"/>
      </w:pPr>
      <w:r>
        <w:t xml:space="preserve">Respostas </w:t>
      </w:r>
      <w:r>
        <w:rPr>
          <w:rFonts w:eastAsia="Times New Roman"/>
          <w:b/>
        </w:rPr>
        <w:t xml:space="preserve">POSITIVAS </w:t>
      </w:r>
      <w:r>
        <w:t>significam que seu artigo está em concordância com as normas, implicando em maior rapidez na tramitação.</w:t>
      </w:r>
    </w:p>
    <w:p w:rsidR="00D47CE9" w:rsidRDefault="00D47CE9" w:rsidP="00C30935">
      <w:pPr>
        <w:ind w:left="-5" w:right="6364"/>
        <w:jc w:val="both"/>
      </w:pPr>
      <w:r>
        <w:rPr>
          <w:rFonts w:eastAsia="Times New Roman"/>
          <w:b/>
        </w:rPr>
        <w:t xml:space="preserve">A. Referente ao trabalho </w:t>
      </w:r>
      <w:r>
        <w:t>1. O trabalho é original?</w:t>
      </w:r>
    </w:p>
    <w:p w:rsidR="00D47CE9" w:rsidRDefault="00D47CE9" w:rsidP="00C30935">
      <w:pPr>
        <w:numPr>
          <w:ilvl w:val="0"/>
          <w:numId w:val="4"/>
        </w:numPr>
        <w:spacing w:after="3" w:line="248" w:lineRule="auto"/>
        <w:ind w:right="4" w:hanging="244"/>
        <w:jc w:val="both"/>
      </w:pPr>
      <w:r>
        <w:t>O trabalho representa uma contribuição científica para a área de Ciências Agrárias?</w:t>
      </w:r>
    </w:p>
    <w:p w:rsidR="00D47CE9" w:rsidRDefault="00D47CE9" w:rsidP="00C30935">
      <w:pPr>
        <w:numPr>
          <w:ilvl w:val="0"/>
          <w:numId w:val="4"/>
        </w:numPr>
        <w:spacing w:after="3" w:line="248" w:lineRule="auto"/>
        <w:ind w:right="4" w:hanging="244"/>
        <w:jc w:val="both"/>
      </w:pPr>
      <w:r>
        <w:t>O trabalho está sendo enviado com exclusividade para a Revista Ciência Agronômica?</w:t>
      </w:r>
    </w:p>
    <w:p w:rsidR="00D47CE9" w:rsidRDefault="00D47CE9" w:rsidP="00C30935">
      <w:pPr>
        <w:pStyle w:val="Ttulo1"/>
        <w:ind w:left="-5"/>
        <w:jc w:val="both"/>
      </w:pPr>
      <w:r>
        <w:t>B. Referente à formatação</w:t>
      </w:r>
    </w:p>
    <w:p w:rsidR="00D47CE9" w:rsidRDefault="00D47CE9" w:rsidP="00C30935">
      <w:pPr>
        <w:numPr>
          <w:ilvl w:val="0"/>
          <w:numId w:val="5"/>
        </w:numPr>
        <w:spacing w:after="3" w:line="248" w:lineRule="auto"/>
        <w:ind w:right="4" w:hanging="364"/>
        <w:jc w:val="both"/>
      </w:pPr>
      <w:r>
        <w:t>O trabalho pronto para ser submetido online está omitindo os nomes dos autores na versão</w:t>
      </w:r>
      <w:r w:rsidR="008B4D0A">
        <w:t xml:space="preserve"> </w:t>
      </w:r>
      <w:r>
        <w:t>Word?</w:t>
      </w:r>
    </w:p>
    <w:p w:rsidR="00D47CE9" w:rsidRDefault="00D47CE9" w:rsidP="00C30935">
      <w:pPr>
        <w:numPr>
          <w:ilvl w:val="0"/>
          <w:numId w:val="5"/>
        </w:numPr>
        <w:spacing w:after="3" w:line="248" w:lineRule="auto"/>
        <w:ind w:right="4" w:hanging="364"/>
        <w:jc w:val="both"/>
      </w:pPr>
      <w:r>
        <w:t>O trabalho contém no máximo 20 páginas, está no formato A4, digitado em espaço duplo,incluindo as referências; fonte Times New Roman tamanho 12, incluindo títulos e subtítulos?</w:t>
      </w:r>
    </w:p>
    <w:p w:rsidR="00D47CE9" w:rsidRDefault="00D47CE9" w:rsidP="00C30935">
      <w:pPr>
        <w:numPr>
          <w:ilvl w:val="0"/>
          <w:numId w:val="5"/>
        </w:numPr>
        <w:spacing w:after="3" w:line="248" w:lineRule="auto"/>
        <w:ind w:right="4" w:hanging="364"/>
        <w:jc w:val="both"/>
      </w:pPr>
      <w:r>
        <w:t>As margens foram colocadas a 2,5 cm, a numeração de páginas foi colocada na margem</w:t>
      </w:r>
      <w:r w:rsidR="008B4D0A">
        <w:t xml:space="preserve"> </w:t>
      </w:r>
      <w:r>
        <w:t>superior, à direita e as linhas foram numeradas de forma contínua?</w:t>
      </w:r>
    </w:p>
    <w:p w:rsidR="00D47CE9" w:rsidRDefault="00D47CE9" w:rsidP="00C30935">
      <w:pPr>
        <w:numPr>
          <w:ilvl w:val="0"/>
          <w:numId w:val="5"/>
        </w:numPr>
        <w:spacing w:after="3" w:line="248" w:lineRule="auto"/>
        <w:ind w:right="4" w:hanging="364"/>
        <w:jc w:val="both"/>
      </w:pPr>
      <w:r>
        <w:lastRenderedPageBreak/>
        <w:t>O recuo do parágrafo de 1 cm foi definido na formatação do parágrafo? Lembre-se que a</w:t>
      </w:r>
      <w:r w:rsidR="008B4D0A">
        <w:t xml:space="preserve"> </w:t>
      </w:r>
      <w:r>
        <w:t>revista não aceita recuo de parágrafo usando a tecla “TAB” ou a “barra de espaço”.</w:t>
      </w:r>
    </w:p>
    <w:p w:rsidR="00D47CE9" w:rsidRDefault="00D47CE9" w:rsidP="00C30935">
      <w:pPr>
        <w:numPr>
          <w:ilvl w:val="0"/>
          <w:numId w:val="5"/>
        </w:numPr>
        <w:spacing w:after="3" w:line="248" w:lineRule="auto"/>
        <w:ind w:right="4" w:hanging="364"/>
        <w:jc w:val="both"/>
      </w:pPr>
      <w:r>
        <w:t>A estrutura do trabalho está de acordo com as normas, ou seja, segue a seguinte ordem: título, título em inglês, autores, resumo</w:t>
      </w:r>
      <w:r w:rsidR="008B4D0A">
        <w:t>, palavras-chave, abstract, key</w:t>
      </w:r>
      <w:r>
        <w:t>words, introdução, material e métodos, resultados e discussão, conclusões, agradecimentos (opcional) e referências?</w:t>
      </w:r>
    </w:p>
    <w:p w:rsidR="00D47CE9" w:rsidRDefault="00D47CE9" w:rsidP="00C30935">
      <w:pPr>
        <w:numPr>
          <w:ilvl w:val="0"/>
          <w:numId w:val="5"/>
        </w:numPr>
        <w:spacing w:after="3" w:line="248" w:lineRule="auto"/>
        <w:ind w:right="4" w:hanging="364"/>
        <w:jc w:val="both"/>
      </w:pPr>
      <w:r>
        <w:t>O título contém no máximo 15 palavras?</w:t>
      </w:r>
    </w:p>
    <w:p w:rsidR="00D47CE9" w:rsidRDefault="00D47CE9" w:rsidP="00C30935">
      <w:pPr>
        <w:numPr>
          <w:ilvl w:val="0"/>
          <w:numId w:val="5"/>
        </w:numPr>
        <w:spacing w:after="3" w:line="248" w:lineRule="auto"/>
        <w:ind w:right="4" w:hanging="364"/>
        <w:jc w:val="both"/>
      </w:pPr>
      <w:r>
        <w:t>O resumo e o abstract apresentam no máximo 250 palavras?</w:t>
      </w:r>
    </w:p>
    <w:p w:rsidR="00D47CE9" w:rsidRDefault="008B4D0A" w:rsidP="00C30935">
      <w:pPr>
        <w:numPr>
          <w:ilvl w:val="0"/>
          <w:numId w:val="5"/>
        </w:numPr>
        <w:spacing w:after="3" w:line="248" w:lineRule="auto"/>
        <w:ind w:right="4" w:hanging="364"/>
        <w:jc w:val="both"/>
      </w:pPr>
      <w:r>
        <w:t>As palavras-chave (key</w:t>
      </w:r>
      <w:r w:rsidR="00D47CE9">
        <w:t>words) contêm entre três e cinco termos, iniciam com letra</w:t>
      </w:r>
      <w:r>
        <w:t xml:space="preserve"> </w:t>
      </w:r>
      <w:r w:rsidR="00D47CE9">
        <w:t>maiúscula e são seguidas de ponto?</w:t>
      </w:r>
    </w:p>
    <w:p w:rsidR="00D47CE9" w:rsidRDefault="00D47CE9" w:rsidP="00C30935">
      <w:pPr>
        <w:numPr>
          <w:ilvl w:val="0"/>
          <w:numId w:val="5"/>
        </w:numPr>
        <w:spacing w:after="3" w:line="248" w:lineRule="auto"/>
        <w:ind w:right="4" w:hanging="364"/>
        <w:jc w:val="both"/>
      </w:pPr>
      <w:r>
        <w:t>A introdução contém citações atuais que apresentam relação com o assunto abordado na</w:t>
      </w:r>
      <w:r w:rsidR="008B4D0A">
        <w:t xml:space="preserve"> </w:t>
      </w:r>
      <w:r>
        <w:t>pesquisa e apresenta no máximo 550 palavras?</w:t>
      </w:r>
    </w:p>
    <w:p w:rsidR="00D47CE9" w:rsidRDefault="00D47CE9" w:rsidP="00C30935">
      <w:pPr>
        <w:numPr>
          <w:ilvl w:val="0"/>
          <w:numId w:val="5"/>
        </w:numPr>
        <w:spacing w:after="3" w:line="248" w:lineRule="auto"/>
        <w:ind w:right="4" w:hanging="364"/>
        <w:jc w:val="both"/>
      </w:pPr>
      <w:r>
        <w:t>As citações apresentadas na introdução foram empregadas para fundamentar a discussão</w:t>
      </w:r>
      <w:r w:rsidR="008B4D0A">
        <w:t xml:space="preserve"> </w:t>
      </w:r>
      <w:r>
        <w:t>dos resultados?</w:t>
      </w:r>
    </w:p>
    <w:p w:rsidR="00D47CE9" w:rsidRDefault="00D47CE9" w:rsidP="00C30935">
      <w:pPr>
        <w:numPr>
          <w:ilvl w:val="0"/>
          <w:numId w:val="5"/>
        </w:numPr>
        <w:spacing w:after="3" w:line="248" w:lineRule="auto"/>
        <w:ind w:right="4" w:hanging="364"/>
        <w:jc w:val="both"/>
      </w:pPr>
      <w:r>
        <w:t>As citações estão de acordo com as normas da revista?</w:t>
      </w:r>
    </w:p>
    <w:p w:rsidR="00D47CE9" w:rsidRDefault="00D47CE9" w:rsidP="00C30935">
      <w:pPr>
        <w:numPr>
          <w:ilvl w:val="0"/>
          <w:numId w:val="5"/>
        </w:numPr>
        <w:spacing w:after="3" w:line="248" w:lineRule="auto"/>
        <w:ind w:right="4" w:hanging="364"/>
        <w:jc w:val="both"/>
      </w:pPr>
      <w:r>
        <w:t>As tabelas e figuras estão formatadas de acordo com as normas da revista e estão inseridas</w:t>
      </w:r>
      <w:r w:rsidR="008B4D0A">
        <w:t xml:space="preserve"> </w:t>
      </w:r>
      <w:r>
        <w:t>logo em seguida à sua primeira citação? Lembre-se, não é permitido usar “enter” nas células que compõem a(s) tabela(s).</w:t>
      </w:r>
    </w:p>
    <w:p w:rsidR="00D47CE9" w:rsidRDefault="00D47CE9" w:rsidP="00C30935">
      <w:pPr>
        <w:numPr>
          <w:ilvl w:val="0"/>
          <w:numId w:val="5"/>
        </w:numPr>
        <w:spacing w:after="3" w:line="248" w:lineRule="auto"/>
        <w:ind w:right="4" w:hanging="364"/>
        <w:jc w:val="both"/>
      </w:pPr>
      <w:r>
        <w:t>As tabelas estão no formato retrato?</w:t>
      </w:r>
    </w:p>
    <w:p w:rsidR="00D47CE9" w:rsidRDefault="00D47CE9" w:rsidP="00C30935">
      <w:pPr>
        <w:numPr>
          <w:ilvl w:val="0"/>
          <w:numId w:val="5"/>
        </w:numPr>
        <w:spacing w:after="3" w:line="248" w:lineRule="auto"/>
        <w:ind w:right="4" w:hanging="364"/>
        <w:jc w:val="both"/>
      </w:pPr>
      <w:r>
        <w:t>As figuras apresentam boa qualidade visual?</w:t>
      </w:r>
    </w:p>
    <w:p w:rsidR="00D47CE9" w:rsidRDefault="00D47CE9" w:rsidP="00C30935">
      <w:pPr>
        <w:numPr>
          <w:ilvl w:val="0"/>
          <w:numId w:val="5"/>
        </w:numPr>
        <w:spacing w:after="3" w:line="248" w:lineRule="auto"/>
        <w:ind w:right="4" w:hanging="364"/>
        <w:jc w:val="both"/>
      </w:pPr>
      <w:r>
        <w:t>As unidades e símbolos utilizados no seu trabalho se encontram dentro das normas do</w:t>
      </w:r>
      <w:r w:rsidR="008B4D0A">
        <w:t xml:space="preserve"> </w:t>
      </w:r>
      <w:r>
        <w:t>Sistema Internacional adotado pela Revista Ciência Agronômica?</w:t>
      </w:r>
    </w:p>
    <w:p w:rsidR="00D47CE9" w:rsidRDefault="00D47CE9" w:rsidP="00C30935">
      <w:pPr>
        <w:numPr>
          <w:ilvl w:val="0"/>
          <w:numId w:val="5"/>
        </w:numPr>
        <w:spacing w:after="3" w:line="248" w:lineRule="auto"/>
        <w:ind w:right="4" w:hanging="364"/>
        <w:jc w:val="both"/>
      </w:pPr>
      <w:r>
        <w:t>Os números estão separados por ponto e vírgula? As unidades estão separadas do número</w:t>
      </w:r>
      <w:r w:rsidR="008B4D0A">
        <w:t xml:space="preserve"> </w:t>
      </w:r>
      <w:r>
        <w:t>por um espaço? Lembre-se, não existe espaço entre o número e o símbolo de %.</w:t>
      </w:r>
    </w:p>
    <w:p w:rsidR="00D47CE9" w:rsidRDefault="00D47CE9" w:rsidP="00C30935">
      <w:pPr>
        <w:numPr>
          <w:ilvl w:val="0"/>
          <w:numId w:val="5"/>
        </w:numPr>
        <w:spacing w:after="3" w:line="248" w:lineRule="auto"/>
        <w:ind w:right="4" w:hanging="364"/>
        <w:jc w:val="both"/>
      </w:pPr>
      <w:r>
        <w:t>O seu trabalho apresenta entre 20 e 30 referências sendo 60% destas publicadas com</w:t>
      </w:r>
      <w:r w:rsidR="008B4D0A">
        <w:t xml:space="preserve"> </w:t>
      </w:r>
      <w:r>
        <w:t>menos de 10 anos em periódicos indexados?</w:t>
      </w:r>
    </w:p>
    <w:p w:rsidR="00D47CE9" w:rsidRDefault="00D47CE9" w:rsidP="00C30935">
      <w:pPr>
        <w:numPr>
          <w:ilvl w:val="0"/>
          <w:numId w:val="5"/>
        </w:numPr>
        <w:spacing w:after="3" w:line="248" w:lineRule="auto"/>
        <w:ind w:right="4" w:hanging="364"/>
        <w:jc w:val="both"/>
      </w:pPr>
      <w:r>
        <w:t>Todas as referências estão citadas ao longo do texto?</w:t>
      </w:r>
    </w:p>
    <w:p w:rsidR="00D47CE9" w:rsidRDefault="00D47CE9" w:rsidP="00C30935">
      <w:pPr>
        <w:numPr>
          <w:ilvl w:val="0"/>
          <w:numId w:val="5"/>
        </w:numPr>
        <w:spacing w:after="272" w:line="248" w:lineRule="auto"/>
        <w:ind w:right="4" w:hanging="364"/>
        <w:jc w:val="both"/>
      </w:pPr>
      <w:r>
        <w:t>Todas as referências citadas ao longo do texto estão corretamente descritas, conforme as</w:t>
      </w:r>
      <w:r w:rsidR="008B4D0A">
        <w:t xml:space="preserve"> </w:t>
      </w:r>
      <w:r>
        <w:t>normas da revista, e aparecem listadas?</w:t>
      </w:r>
    </w:p>
    <w:p w:rsidR="00D47CE9" w:rsidRDefault="00D47CE9" w:rsidP="00C30935">
      <w:pPr>
        <w:spacing w:after="10" w:line="249" w:lineRule="auto"/>
        <w:ind w:left="-5"/>
        <w:jc w:val="both"/>
      </w:pPr>
      <w:r>
        <w:rPr>
          <w:rFonts w:eastAsia="Times New Roman"/>
          <w:b/>
        </w:rPr>
        <w:t>C. Observações:</w:t>
      </w:r>
    </w:p>
    <w:p w:rsidR="00D47CE9" w:rsidRDefault="00D47CE9" w:rsidP="00C30935">
      <w:pPr>
        <w:numPr>
          <w:ilvl w:val="0"/>
          <w:numId w:val="6"/>
        </w:numPr>
        <w:spacing w:after="3" w:line="248" w:lineRule="auto"/>
        <w:ind w:right="4" w:hanging="333"/>
        <w:jc w:val="both"/>
      </w:pPr>
      <w:r>
        <w:t xml:space="preserve">Lembre-se que </w:t>
      </w:r>
      <w:r>
        <w:rPr>
          <w:rFonts w:eastAsia="Times New Roman"/>
          <w:b/>
        </w:rPr>
        <w:t xml:space="preserve">SE </w:t>
      </w:r>
      <w:r>
        <w:t>as normas da revista não forem seguidas rigorosamente, seu trabalho não irá tramitar. Portanto, é melhor retardar o envio por mais alguns dias e conferir todas as normas. A consulta de um trabalho já publicado na sua área pode lhe ajudar a sanar algumas dúvidas e pode servir como um modelo (acesse aos periódicos no site http://www.ccarevista.ufc.br/busca).</w:t>
      </w:r>
    </w:p>
    <w:p w:rsidR="00D47CE9" w:rsidRDefault="00D47CE9" w:rsidP="00C30935">
      <w:pPr>
        <w:numPr>
          <w:ilvl w:val="0"/>
          <w:numId w:val="6"/>
        </w:numPr>
        <w:spacing w:after="3" w:line="248" w:lineRule="auto"/>
        <w:ind w:right="4" w:hanging="333"/>
        <w:jc w:val="both"/>
      </w:pPr>
      <w:r>
        <w:t xml:space="preserve">Caso suas respostas sejam todas </w:t>
      </w:r>
      <w:r>
        <w:rPr>
          <w:rFonts w:eastAsia="Times New Roman"/>
          <w:b/>
        </w:rPr>
        <w:t xml:space="preserve">AFIRMATIVAS </w:t>
      </w:r>
      <w:r>
        <w:t xml:space="preserve">seu trabalho será enviado com maior segurança. Caso tenha ainda respostas </w:t>
      </w:r>
      <w:r>
        <w:rPr>
          <w:rFonts w:eastAsia="Times New Roman"/>
          <w:b/>
        </w:rPr>
        <w:t>NEGATIVAS</w:t>
      </w:r>
      <w:r>
        <w:t>, seu trabalho irá retornar retardando o processo de tramitação.</w:t>
      </w:r>
    </w:p>
    <w:p w:rsidR="00D47CE9" w:rsidRDefault="00D47CE9" w:rsidP="00C30935">
      <w:pPr>
        <w:ind w:left="370"/>
        <w:jc w:val="both"/>
      </w:pPr>
      <w:r>
        <w:rPr>
          <w:rFonts w:eastAsia="Times New Roman"/>
          <w:b/>
        </w:rPr>
        <w:t>Lembre-se</w:t>
      </w:r>
      <w:r>
        <w:t xml:space="preserve">: A partir da segunda devolução, por irregularidade normativa, principalmente em se tratando das referências, o mesmo terá a submissão cancelada e </w:t>
      </w:r>
      <w:r>
        <w:rPr>
          <w:rFonts w:eastAsia="Times New Roman"/>
          <w:b/>
        </w:rPr>
        <w:t>não haverá devolução da taxa de submissão</w:t>
      </w:r>
      <w:r>
        <w:t>. Portanto é muito importante que os autores verifiquem cuidadosamente as normas requeridas pela Revista Ciência Agronômica.</w:t>
      </w:r>
    </w:p>
    <w:p w:rsidR="00D47CE9" w:rsidRDefault="00D47CE9" w:rsidP="00C30935">
      <w:pPr>
        <w:numPr>
          <w:ilvl w:val="0"/>
          <w:numId w:val="6"/>
        </w:numPr>
        <w:spacing w:after="3" w:line="248" w:lineRule="auto"/>
        <w:ind w:right="4" w:hanging="333"/>
        <w:jc w:val="both"/>
      </w:pPr>
      <w:r>
        <w:t xml:space="preserve">Procure </w:t>
      </w:r>
      <w:r>
        <w:rPr>
          <w:rFonts w:eastAsia="Times New Roman"/>
          <w:b/>
        </w:rPr>
        <w:t xml:space="preserve">SEMPRE </w:t>
      </w:r>
      <w:r>
        <w:t>acompanhar a situação de seu trabalho pela página da revista</w:t>
      </w:r>
    </w:p>
    <w:p w:rsidR="00D47CE9" w:rsidRDefault="00D47CE9" w:rsidP="00C30935">
      <w:pPr>
        <w:ind w:left="370"/>
        <w:jc w:val="both"/>
      </w:pPr>
      <w:r>
        <w:t>(http://ccarevista.ufc.br) no sistema online de gerenciamento de artigos.</w:t>
      </w:r>
    </w:p>
    <w:p w:rsidR="00D47CE9" w:rsidRPr="00C30935" w:rsidRDefault="00D47CE9" w:rsidP="00B32C67">
      <w:pPr>
        <w:numPr>
          <w:ilvl w:val="0"/>
          <w:numId w:val="6"/>
        </w:numPr>
        <w:spacing w:after="0" w:line="240" w:lineRule="auto"/>
        <w:ind w:left="284" w:right="4" w:hanging="333"/>
        <w:jc w:val="both"/>
        <w:rPr>
          <w:b/>
        </w:rPr>
      </w:pPr>
      <w:r>
        <w:t>Esta lista de verificação não substitui a revisão técnica da revista, a qual todos os artigos</w:t>
      </w:r>
      <w:r w:rsidR="008B4D0A">
        <w:t xml:space="preserve"> </w:t>
      </w:r>
      <w:r>
        <w:t>enviados serão submetidos.</w:t>
      </w:r>
    </w:p>
    <w:sectPr w:rsidR="00D47CE9" w:rsidRPr="00C30935" w:rsidSect="00C30935">
      <w:footerReference w:type="default" r:id="rId49"/>
      <w:pgSz w:w="11907" w:h="16840"/>
      <w:pgMar w:top="1418" w:right="1418" w:bottom="1418" w:left="1418" w:header="709" w:footer="1021"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4A" w:rsidRDefault="0051004A">
      <w:pPr>
        <w:spacing w:after="0" w:line="240" w:lineRule="auto"/>
      </w:pPr>
      <w:r>
        <w:separator/>
      </w:r>
    </w:p>
  </w:endnote>
  <w:endnote w:type="continuationSeparator" w:id="0">
    <w:p w:rsidR="0051004A" w:rsidRDefault="00510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7C" w:rsidRDefault="00915C7C">
    <w:pPr>
      <w:pStyle w:val="Rodap"/>
      <w:jc w:val="right"/>
    </w:pPr>
    <w:r>
      <w:fldChar w:fldCharType="begin"/>
    </w:r>
    <w:r>
      <w:instrText xml:space="preserve"> PAGE   \* MERGEFORMAT </w:instrText>
    </w:r>
    <w:r>
      <w:fldChar w:fldCharType="separate"/>
    </w:r>
    <w:r w:rsidR="008B4D0A">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7C" w:rsidRDefault="00915C7C">
    <w:pPr>
      <w:pStyle w:val="Rodap"/>
      <w:jc w:val="right"/>
    </w:pPr>
    <w:r>
      <w:t>1</w:t>
    </w:r>
  </w:p>
  <w:p w:rsidR="00915C7C" w:rsidRDefault="00915C7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935" w:rsidRPr="00C30935" w:rsidRDefault="00C30935" w:rsidP="00C3093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4A" w:rsidRDefault="0051004A">
      <w:pPr>
        <w:spacing w:after="0" w:line="240" w:lineRule="auto"/>
      </w:pPr>
      <w:r>
        <w:separator/>
      </w:r>
    </w:p>
  </w:footnote>
  <w:footnote w:type="continuationSeparator" w:id="0">
    <w:p w:rsidR="0051004A" w:rsidRDefault="0051004A">
      <w:pPr>
        <w:spacing w:after="0" w:line="240" w:lineRule="auto"/>
      </w:pPr>
      <w:r>
        <w:continuationSeparator/>
      </w:r>
    </w:p>
  </w:footnote>
  <w:footnote w:id="1">
    <w:p w:rsidR="00934AF2" w:rsidRDefault="00934AF2">
      <w:pPr>
        <w:pStyle w:val="Textodenotaderodap"/>
      </w:pPr>
      <w:r>
        <w:rPr>
          <w:rStyle w:val="Refdenotaderodap"/>
        </w:rPr>
        <w:footnoteRef/>
      </w:r>
      <w:r>
        <w:t xml:space="preserve"> Artigo redigido conforme normas da Revista Ciência Agronômica (ISSN: 1806-6690).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7C" w:rsidRPr="00B63948" w:rsidRDefault="00915C7C" w:rsidP="00B6394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C7C" w:rsidRDefault="00915C7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1B331D"/>
    <w:multiLevelType w:val="hybridMultilevel"/>
    <w:tmpl w:val="4B64B8E8"/>
    <w:lvl w:ilvl="0" w:tplc="2C307D5A">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8F7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22BF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3EC1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E8D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C58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40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E36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E1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83D19FD"/>
    <w:multiLevelType w:val="hybridMultilevel"/>
    <w:tmpl w:val="7A00B414"/>
    <w:lvl w:ilvl="0" w:tplc="D850FD2E">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9C1D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A4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4F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E06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4A9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C8CB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67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49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4A0E4430"/>
    <w:multiLevelType w:val="hybridMultilevel"/>
    <w:tmpl w:val="CB121D68"/>
    <w:lvl w:ilvl="0" w:tplc="B1C69926">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C465AE"/>
    <w:multiLevelType w:val="hybridMultilevel"/>
    <w:tmpl w:val="4006B016"/>
    <w:lvl w:ilvl="0" w:tplc="E57C5D36">
      <w:start w:val="1"/>
      <w:numFmt w:val="bullet"/>
      <w:lvlText w:val="-"/>
      <w:lvlJc w:val="left"/>
      <w:pPr>
        <w:ind w:left="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60AD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6ECC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824E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87D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C2F7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64F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E5D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6CD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E412BB1"/>
    <w:multiLevelType w:val="hybridMultilevel"/>
    <w:tmpl w:val="A280AC44"/>
    <w:lvl w:ilvl="0" w:tplc="1B969F5E">
      <w:start w:val="4"/>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4FC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08A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AE7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247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8A6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E10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4D9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89E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606C5E1D"/>
    <w:multiLevelType w:val="hybridMultilevel"/>
    <w:tmpl w:val="92D0C822"/>
    <w:lvl w:ilvl="0" w:tplc="7E782B4A">
      <w:start w:val="1"/>
      <w:numFmt w:val="decimal"/>
      <w:lvlText w:val="%1."/>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E59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6D7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AA17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AC3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105F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8A1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78C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6E3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CE43C0"/>
    <w:rsid w:val="000038B0"/>
    <w:rsid w:val="00004890"/>
    <w:rsid w:val="000052E7"/>
    <w:rsid w:val="000120EE"/>
    <w:rsid w:val="00021701"/>
    <w:rsid w:val="00023313"/>
    <w:rsid w:val="00023C0E"/>
    <w:rsid w:val="00026160"/>
    <w:rsid w:val="00031F6D"/>
    <w:rsid w:val="00040354"/>
    <w:rsid w:val="00061D35"/>
    <w:rsid w:val="000659ED"/>
    <w:rsid w:val="00071424"/>
    <w:rsid w:val="00081548"/>
    <w:rsid w:val="00084ABD"/>
    <w:rsid w:val="00094055"/>
    <w:rsid w:val="000976EB"/>
    <w:rsid w:val="000978A5"/>
    <w:rsid w:val="000A34B8"/>
    <w:rsid w:val="000A7322"/>
    <w:rsid w:val="000A7CC2"/>
    <w:rsid w:val="000B3E5E"/>
    <w:rsid w:val="000C2BEF"/>
    <w:rsid w:val="000C5B77"/>
    <w:rsid w:val="000C75EB"/>
    <w:rsid w:val="000C7D86"/>
    <w:rsid w:val="000D28BC"/>
    <w:rsid w:val="000E1D52"/>
    <w:rsid w:val="000E5550"/>
    <w:rsid w:val="000E773D"/>
    <w:rsid w:val="000F0B10"/>
    <w:rsid w:val="000F1471"/>
    <w:rsid w:val="000F6DA0"/>
    <w:rsid w:val="000F77A3"/>
    <w:rsid w:val="00103A3B"/>
    <w:rsid w:val="00104218"/>
    <w:rsid w:val="00107879"/>
    <w:rsid w:val="0011264D"/>
    <w:rsid w:val="00113F59"/>
    <w:rsid w:val="00116DFA"/>
    <w:rsid w:val="00124813"/>
    <w:rsid w:val="001252A7"/>
    <w:rsid w:val="001302F7"/>
    <w:rsid w:val="00132807"/>
    <w:rsid w:val="001409B4"/>
    <w:rsid w:val="001505AB"/>
    <w:rsid w:val="001519E6"/>
    <w:rsid w:val="00151C20"/>
    <w:rsid w:val="00153041"/>
    <w:rsid w:val="00154F94"/>
    <w:rsid w:val="00161BE8"/>
    <w:rsid w:val="001648D6"/>
    <w:rsid w:val="00166A96"/>
    <w:rsid w:val="00171DD9"/>
    <w:rsid w:val="001822D9"/>
    <w:rsid w:val="00185BD0"/>
    <w:rsid w:val="00194B39"/>
    <w:rsid w:val="001961B6"/>
    <w:rsid w:val="001A0A64"/>
    <w:rsid w:val="001A4325"/>
    <w:rsid w:val="001B06CB"/>
    <w:rsid w:val="001B547F"/>
    <w:rsid w:val="001B597A"/>
    <w:rsid w:val="001B5DBA"/>
    <w:rsid w:val="001C2E52"/>
    <w:rsid w:val="001C61C4"/>
    <w:rsid w:val="001C7FB7"/>
    <w:rsid w:val="001D2F53"/>
    <w:rsid w:val="001D443D"/>
    <w:rsid w:val="001D4EFA"/>
    <w:rsid w:val="001E3854"/>
    <w:rsid w:val="001E4CEB"/>
    <w:rsid w:val="001F2FB1"/>
    <w:rsid w:val="001F3045"/>
    <w:rsid w:val="001F6B90"/>
    <w:rsid w:val="00201FED"/>
    <w:rsid w:val="00203362"/>
    <w:rsid w:val="00211DC7"/>
    <w:rsid w:val="00221E4B"/>
    <w:rsid w:val="002232EC"/>
    <w:rsid w:val="00226E7A"/>
    <w:rsid w:val="00253936"/>
    <w:rsid w:val="00254E85"/>
    <w:rsid w:val="0026291A"/>
    <w:rsid w:val="00265077"/>
    <w:rsid w:val="00277F4A"/>
    <w:rsid w:val="00281FAC"/>
    <w:rsid w:val="0028655A"/>
    <w:rsid w:val="002A087B"/>
    <w:rsid w:val="002A0FC4"/>
    <w:rsid w:val="002A1B9C"/>
    <w:rsid w:val="002A1F79"/>
    <w:rsid w:val="002A2080"/>
    <w:rsid w:val="002A2934"/>
    <w:rsid w:val="002A2EAB"/>
    <w:rsid w:val="002A3767"/>
    <w:rsid w:val="002A3BD8"/>
    <w:rsid w:val="002B1D9D"/>
    <w:rsid w:val="002B345A"/>
    <w:rsid w:val="002B477A"/>
    <w:rsid w:val="002B4A05"/>
    <w:rsid w:val="002C1458"/>
    <w:rsid w:val="002C3EFF"/>
    <w:rsid w:val="002C7F28"/>
    <w:rsid w:val="002D310E"/>
    <w:rsid w:val="002D32B7"/>
    <w:rsid w:val="002E102F"/>
    <w:rsid w:val="002E3080"/>
    <w:rsid w:val="002E3283"/>
    <w:rsid w:val="002F06E2"/>
    <w:rsid w:val="002F52C4"/>
    <w:rsid w:val="002F6229"/>
    <w:rsid w:val="00310D44"/>
    <w:rsid w:val="00320FE8"/>
    <w:rsid w:val="0032338B"/>
    <w:rsid w:val="00326B3B"/>
    <w:rsid w:val="00327938"/>
    <w:rsid w:val="00333C90"/>
    <w:rsid w:val="00334912"/>
    <w:rsid w:val="00334DD2"/>
    <w:rsid w:val="00344290"/>
    <w:rsid w:val="0034711D"/>
    <w:rsid w:val="0034790F"/>
    <w:rsid w:val="00357F1F"/>
    <w:rsid w:val="00361482"/>
    <w:rsid w:val="00362E92"/>
    <w:rsid w:val="003656C1"/>
    <w:rsid w:val="0036742E"/>
    <w:rsid w:val="00381288"/>
    <w:rsid w:val="00390A53"/>
    <w:rsid w:val="003A11A9"/>
    <w:rsid w:val="003A2CF9"/>
    <w:rsid w:val="003A3A49"/>
    <w:rsid w:val="003A4D73"/>
    <w:rsid w:val="003A64AB"/>
    <w:rsid w:val="003B220D"/>
    <w:rsid w:val="003B6913"/>
    <w:rsid w:val="003C1AB2"/>
    <w:rsid w:val="003C1F3C"/>
    <w:rsid w:val="003C37FF"/>
    <w:rsid w:val="003D2981"/>
    <w:rsid w:val="003D479E"/>
    <w:rsid w:val="003D693C"/>
    <w:rsid w:val="003E17AC"/>
    <w:rsid w:val="003E1999"/>
    <w:rsid w:val="003F198F"/>
    <w:rsid w:val="003F264E"/>
    <w:rsid w:val="003F6D53"/>
    <w:rsid w:val="00401166"/>
    <w:rsid w:val="00403ED2"/>
    <w:rsid w:val="00405D79"/>
    <w:rsid w:val="00406C9C"/>
    <w:rsid w:val="00410753"/>
    <w:rsid w:val="00413E10"/>
    <w:rsid w:val="00417392"/>
    <w:rsid w:val="004252D6"/>
    <w:rsid w:val="0043153C"/>
    <w:rsid w:val="00432D97"/>
    <w:rsid w:val="004332D9"/>
    <w:rsid w:val="004343F0"/>
    <w:rsid w:val="00435D26"/>
    <w:rsid w:val="0044215C"/>
    <w:rsid w:val="00443504"/>
    <w:rsid w:val="00445E17"/>
    <w:rsid w:val="0044776D"/>
    <w:rsid w:val="00457DBE"/>
    <w:rsid w:val="004641FB"/>
    <w:rsid w:val="00473276"/>
    <w:rsid w:val="0047347B"/>
    <w:rsid w:val="00475F8A"/>
    <w:rsid w:val="00490A92"/>
    <w:rsid w:val="00492FF0"/>
    <w:rsid w:val="0049764A"/>
    <w:rsid w:val="004A4425"/>
    <w:rsid w:val="004B54A9"/>
    <w:rsid w:val="004B5F12"/>
    <w:rsid w:val="004B6446"/>
    <w:rsid w:val="004B74BA"/>
    <w:rsid w:val="004C560C"/>
    <w:rsid w:val="004C6FC8"/>
    <w:rsid w:val="004D4FB9"/>
    <w:rsid w:val="004E0982"/>
    <w:rsid w:val="004F4425"/>
    <w:rsid w:val="0051004A"/>
    <w:rsid w:val="00514307"/>
    <w:rsid w:val="00517EB8"/>
    <w:rsid w:val="0052254C"/>
    <w:rsid w:val="0052617A"/>
    <w:rsid w:val="00531EC0"/>
    <w:rsid w:val="00535898"/>
    <w:rsid w:val="0054416A"/>
    <w:rsid w:val="005456C2"/>
    <w:rsid w:val="0054678C"/>
    <w:rsid w:val="00553A19"/>
    <w:rsid w:val="00554391"/>
    <w:rsid w:val="00556179"/>
    <w:rsid w:val="005738A0"/>
    <w:rsid w:val="005751A3"/>
    <w:rsid w:val="00576B66"/>
    <w:rsid w:val="00582409"/>
    <w:rsid w:val="005836FD"/>
    <w:rsid w:val="005839A4"/>
    <w:rsid w:val="00585DD2"/>
    <w:rsid w:val="0059190D"/>
    <w:rsid w:val="00593784"/>
    <w:rsid w:val="005967BD"/>
    <w:rsid w:val="0059752B"/>
    <w:rsid w:val="005A13FE"/>
    <w:rsid w:val="005A20FD"/>
    <w:rsid w:val="005A2B0A"/>
    <w:rsid w:val="005A2CF8"/>
    <w:rsid w:val="005A5735"/>
    <w:rsid w:val="005A59FC"/>
    <w:rsid w:val="005B02DB"/>
    <w:rsid w:val="005B69F0"/>
    <w:rsid w:val="005C27D9"/>
    <w:rsid w:val="005C45CB"/>
    <w:rsid w:val="005C5C54"/>
    <w:rsid w:val="005D13A9"/>
    <w:rsid w:val="005D44B8"/>
    <w:rsid w:val="005D48E9"/>
    <w:rsid w:val="005D7AB5"/>
    <w:rsid w:val="005F09D2"/>
    <w:rsid w:val="005F354F"/>
    <w:rsid w:val="0060137B"/>
    <w:rsid w:val="00620977"/>
    <w:rsid w:val="006242AB"/>
    <w:rsid w:val="00630C10"/>
    <w:rsid w:val="00631BB6"/>
    <w:rsid w:val="00636F79"/>
    <w:rsid w:val="00647314"/>
    <w:rsid w:val="00651AC3"/>
    <w:rsid w:val="0065529C"/>
    <w:rsid w:val="006562F2"/>
    <w:rsid w:val="00656621"/>
    <w:rsid w:val="00666C3D"/>
    <w:rsid w:val="00677B8A"/>
    <w:rsid w:val="00677F59"/>
    <w:rsid w:val="00690DD6"/>
    <w:rsid w:val="00692B4F"/>
    <w:rsid w:val="006948B2"/>
    <w:rsid w:val="00694E54"/>
    <w:rsid w:val="006A1CD2"/>
    <w:rsid w:val="006A6A95"/>
    <w:rsid w:val="006A7EA2"/>
    <w:rsid w:val="006B0199"/>
    <w:rsid w:val="006B53E8"/>
    <w:rsid w:val="006D4F3D"/>
    <w:rsid w:val="006D4FAA"/>
    <w:rsid w:val="006E4236"/>
    <w:rsid w:val="006F6BB5"/>
    <w:rsid w:val="0071769A"/>
    <w:rsid w:val="007243DC"/>
    <w:rsid w:val="007249F5"/>
    <w:rsid w:val="00734E00"/>
    <w:rsid w:val="007400EE"/>
    <w:rsid w:val="00746FD1"/>
    <w:rsid w:val="00747150"/>
    <w:rsid w:val="00761E7E"/>
    <w:rsid w:val="00763A2A"/>
    <w:rsid w:val="00772257"/>
    <w:rsid w:val="0077278E"/>
    <w:rsid w:val="0078296F"/>
    <w:rsid w:val="0078315E"/>
    <w:rsid w:val="00793DF7"/>
    <w:rsid w:val="007A01B4"/>
    <w:rsid w:val="007A1F02"/>
    <w:rsid w:val="007A3952"/>
    <w:rsid w:val="007A482A"/>
    <w:rsid w:val="007B10F8"/>
    <w:rsid w:val="007B221C"/>
    <w:rsid w:val="007B6B68"/>
    <w:rsid w:val="007C2A47"/>
    <w:rsid w:val="007C32B7"/>
    <w:rsid w:val="007C694B"/>
    <w:rsid w:val="007D54C4"/>
    <w:rsid w:val="007E0932"/>
    <w:rsid w:val="007E10BF"/>
    <w:rsid w:val="007E2E54"/>
    <w:rsid w:val="007E622B"/>
    <w:rsid w:val="007F3203"/>
    <w:rsid w:val="007F3E44"/>
    <w:rsid w:val="007F528D"/>
    <w:rsid w:val="007F5EB2"/>
    <w:rsid w:val="00800F40"/>
    <w:rsid w:val="00801BA2"/>
    <w:rsid w:val="0080214B"/>
    <w:rsid w:val="00821921"/>
    <w:rsid w:val="0082395B"/>
    <w:rsid w:val="00836DFD"/>
    <w:rsid w:val="00836F24"/>
    <w:rsid w:val="00842119"/>
    <w:rsid w:val="00844DD3"/>
    <w:rsid w:val="008469BD"/>
    <w:rsid w:val="00850C6F"/>
    <w:rsid w:val="0086295C"/>
    <w:rsid w:val="008630BE"/>
    <w:rsid w:val="0086768A"/>
    <w:rsid w:val="008720A0"/>
    <w:rsid w:val="00873AA9"/>
    <w:rsid w:val="00880526"/>
    <w:rsid w:val="0088210B"/>
    <w:rsid w:val="00882A41"/>
    <w:rsid w:val="008A4599"/>
    <w:rsid w:val="008A508D"/>
    <w:rsid w:val="008A50BC"/>
    <w:rsid w:val="008A6309"/>
    <w:rsid w:val="008B1BCF"/>
    <w:rsid w:val="008B2B93"/>
    <w:rsid w:val="008B4D0A"/>
    <w:rsid w:val="008C0DFE"/>
    <w:rsid w:val="008D2B3D"/>
    <w:rsid w:val="008D623B"/>
    <w:rsid w:val="008F0A7D"/>
    <w:rsid w:val="008F5635"/>
    <w:rsid w:val="00902700"/>
    <w:rsid w:val="00902E29"/>
    <w:rsid w:val="00907C99"/>
    <w:rsid w:val="00911B36"/>
    <w:rsid w:val="00911D2A"/>
    <w:rsid w:val="009141D6"/>
    <w:rsid w:val="0091521D"/>
    <w:rsid w:val="00915C7C"/>
    <w:rsid w:val="00922F91"/>
    <w:rsid w:val="009253A0"/>
    <w:rsid w:val="00925BE9"/>
    <w:rsid w:val="00927D35"/>
    <w:rsid w:val="0093232F"/>
    <w:rsid w:val="00934AF2"/>
    <w:rsid w:val="00940B9C"/>
    <w:rsid w:val="00944482"/>
    <w:rsid w:val="00947E62"/>
    <w:rsid w:val="00953985"/>
    <w:rsid w:val="00955159"/>
    <w:rsid w:val="00956402"/>
    <w:rsid w:val="00972C47"/>
    <w:rsid w:val="00980F86"/>
    <w:rsid w:val="00981E96"/>
    <w:rsid w:val="00984AEE"/>
    <w:rsid w:val="009862E3"/>
    <w:rsid w:val="0099000E"/>
    <w:rsid w:val="009A25BC"/>
    <w:rsid w:val="009A52B3"/>
    <w:rsid w:val="009B337A"/>
    <w:rsid w:val="009B4429"/>
    <w:rsid w:val="009B4AD0"/>
    <w:rsid w:val="009B6DF6"/>
    <w:rsid w:val="009B7A28"/>
    <w:rsid w:val="009B7BA0"/>
    <w:rsid w:val="009C4C77"/>
    <w:rsid w:val="009C5BA5"/>
    <w:rsid w:val="009D0F9B"/>
    <w:rsid w:val="009D4ABC"/>
    <w:rsid w:val="009D4C7A"/>
    <w:rsid w:val="009D6D14"/>
    <w:rsid w:val="009E2999"/>
    <w:rsid w:val="009E3620"/>
    <w:rsid w:val="009F04CF"/>
    <w:rsid w:val="009F4732"/>
    <w:rsid w:val="009F7890"/>
    <w:rsid w:val="009F7C1D"/>
    <w:rsid w:val="00A031B5"/>
    <w:rsid w:val="00A077F4"/>
    <w:rsid w:val="00A1234B"/>
    <w:rsid w:val="00A1246A"/>
    <w:rsid w:val="00A16744"/>
    <w:rsid w:val="00A23530"/>
    <w:rsid w:val="00A36CC9"/>
    <w:rsid w:val="00A4083B"/>
    <w:rsid w:val="00A4091D"/>
    <w:rsid w:val="00A4117D"/>
    <w:rsid w:val="00A43B5B"/>
    <w:rsid w:val="00A45D93"/>
    <w:rsid w:val="00A51DFA"/>
    <w:rsid w:val="00A54199"/>
    <w:rsid w:val="00A55350"/>
    <w:rsid w:val="00A55556"/>
    <w:rsid w:val="00A55F41"/>
    <w:rsid w:val="00A629BE"/>
    <w:rsid w:val="00A64CD9"/>
    <w:rsid w:val="00A71CEE"/>
    <w:rsid w:val="00A738C4"/>
    <w:rsid w:val="00A76286"/>
    <w:rsid w:val="00A815A1"/>
    <w:rsid w:val="00A82CEA"/>
    <w:rsid w:val="00A82FAC"/>
    <w:rsid w:val="00A873E3"/>
    <w:rsid w:val="00A94961"/>
    <w:rsid w:val="00A94C29"/>
    <w:rsid w:val="00A96520"/>
    <w:rsid w:val="00A96FC0"/>
    <w:rsid w:val="00AA78E0"/>
    <w:rsid w:val="00AB1AF7"/>
    <w:rsid w:val="00AB1D86"/>
    <w:rsid w:val="00AB2A91"/>
    <w:rsid w:val="00AB7708"/>
    <w:rsid w:val="00AB7D6D"/>
    <w:rsid w:val="00AC6BAA"/>
    <w:rsid w:val="00AC7E8E"/>
    <w:rsid w:val="00AD421E"/>
    <w:rsid w:val="00AE6211"/>
    <w:rsid w:val="00AF35EB"/>
    <w:rsid w:val="00AF7986"/>
    <w:rsid w:val="00B0761C"/>
    <w:rsid w:val="00B13824"/>
    <w:rsid w:val="00B17CBA"/>
    <w:rsid w:val="00B202CC"/>
    <w:rsid w:val="00B243EE"/>
    <w:rsid w:val="00B3412D"/>
    <w:rsid w:val="00B347CF"/>
    <w:rsid w:val="00B35B81"/>
    <w:rsid w:val="00B52FAB"/>
    <w:rsid w:val="00B53511"/>
    <w:rsid w:val="00B564AC"/>
    <w:rsid w:val="00B57122"/>
    <w:rsid w:val="00B5766E"/>
    <w:rsid w:val="00B6306E"/>
    <w:rsid w:val="00B63948"/>
    <w:rsid w:val="00B6689F"/>
    <w:rsid w:val="00B66C6A"/>
    <w:rsid w:val="00B800B9"/>
    <w:rsid w:val="00B811C6"/>
    <w:rsid w:val="00B82D55"/>
    <w:rsid w:val="00BA3389"/>
    <w:rsid w:val="00BB0D36"/>
    <w:rsid w:val="00BB45DE"/>
    <w:rsid w:val="00BC6B91"/>
    <w:rsid w:val="00BD1341"/>
    <w:rsid w:val="00BD3B92"/>
    <w:rsid w:val="00BD3D95"/>
    <w:rsid w:val="00BD7988"/>
    <w:rsid w:val="00BE6AB1"/>
    <w:rsid w:val="00BF12C5"/>
    <w:rsid w:val="00BF46C3"/>
    <w:rsid w:val="00BF71FC"/>
    <w:rsid w:val="00BF7E2D"/>
    <w:rsid w:val="00C03E64"/>
    <w:rsid w:val="00C05E3F"/>
    <w:rsid w:val="00C119D3"/>
    <w:rsid w:val="00C151B4"/>
    <w:rsid w:val="00C30935"/>
    <w:rsid w:val="00C327DB"/>
    <w:rsid w:val="00C37ADE"/>
    <w:rsid w:val="00C37FA4"/>
    <w:rsid w:val="00C45C45"/>
    <w:rsid w:val="00C628FA"/>
    <w:rsid w:val="00C62CC2"/>
    <w:rsid w:val="00C7053F"/>
    <w:rsid w:val="00C76F4E"/>
    <w:rsid w:val="00C82E4D"/>
    <w:rsid w:val="00C831B9"/>
    <w:rsid w:val="00C92851"/>
    <w:rsid w:val="00C943EE"/>
    <w:rsid w:val="00CA0420"/>
    <w:rsid w:val="00CA296C"/>
    <w:rsid w:val="00CA4AFF"/>
    <w:rsid w:val="00CB3C7F"/>
    <w:rsid w:val="00CD1044"/>
    <w:rsid w:val="00CD27D9"/>
    <w:rsid w:val="00CE1C70"/>
    <w:rsid w:val="00CE43C0"/>
    <w:rsid w:val="00CF4AA0"/>
    <w:rsid w:val="00CF6A90"/>
    <w:rsid w:val="00CF7598"/>
    <w:rsid w:val="00D01A31"/>
    <w:rsid w:val="00D03A0F"/>
    <w:rsid w:val="00D04D9A"/>
    <w:rsid w:val="00D076B7"/>
    <w:rsid w:val="00D11FE7"/>
    <w:rsid w:val="00D14F4A"/>
    <w:rsid w:val="00D16852"/>
    <w:rsid w:val="00D1713D"/>
    <w:rsid w:val="00D20AD4"/>
    <w:rsid w:val="00D20F2A"/>
    <w:rsid w:val="00D22229"/>
    <w:rsid w:val="00D26ABA"/>
    <w:rsid w:val="00D279C6"/>
    <w:rsid w:val="00D44E91"/>
    <w:rsid w:val="00D47CE9"/>
    <w:rsid w:val="00D543EE"/>
    <w:rsid w:val="00D54E7B"/>
    <w:rsid w:val="00D6022C"/>
    <w:rsid w:val="00D65982"/>
    <w:rsid w:val="00D72E46"/>
    <w:rsid w:val="00D80880"/>
    <w:rsid w:val="00D8089B"/>
    <w:rsid w:val="00D86BC9"/>
    <w:rsid w:val="00D87457"/>
    <w:rsid w:val="00D90688"/>
    <w:rsid w:val="00D935D4"/>
    <w:rsid w:val="00D9667F"/>
    <w:rsid w:val="00D97195"/>
    <w:rsid w:val="00D976A5"/>
    <w:rsid w:val="00DA079A"/>
    <w:rsid w:val="00DA0D3D"/>
    <w:rsid w:val="00DA2C5B"/>
    <w:rsid w:val="00DA6FA9"/>
    <w:rsid w:val="00DA7843"/>
    <w:rsid w:val="00DB3CBA"/>
    <w:rsid w:val="00DB46B9"/>
    <w:rsid w:val="00DB6CF9"/>
    <w:rsid w:val="00DC0DC7"/>
    <w:rsid w:val="00DC28FE"/>
    <w:rsid w:val="00DC352E"/>
    <w:rsid w:val="00DC63B9"/>
    <w:rsid w:val="00DD1B96"/>
    <w:rsid w:val="00DD3AB8"/>
    <w:rsid w:val="00DD4EB5"/>
    <w:rsid w:val="00DE3FA2"/>
    <w:rsid w:val="00DE698A"/>
    <w:rsid w:val="00DE6CFA"/>
    <w:rsid w:val="00DF075C"/>
    <w:rsid w:val="00DF0C25"/>
    <w:rsid w:val="00DF33B5"/>
    <w:rsid w:val="00E04F1C"/>
    <w:rsid w:val="00E272DB"/>
    <w:rsid w:val="00E3059A"/>
    <w:rsid w:val="00E33BD3"/>
    <w:rsid w:val="00E41BF2"/>
    <w:rsid w:val="00E4373B"/>
    <w:rsid w:val="00E4463D"/>
    <w:rsid w:val="00E45FBD"/>
    <w:rsid w:val="00E46C4E"/>
    <w:rsid w:val="00E54AFA"/>
    <w:rsid w:val="00E57B3E"/>
    <w:rsid w:val="00E65A9A"/>
    <w:rsid w:val="00E67672"/>
    <w:rsid w:val="00E676B6"/>
    <w:rsid w:val="00E67A6B"/>
    <w:rsid w:val="00E76459"/>
    <w:rsid w:val="00E80247"/>
    <w:rsid w:val="00E82FB2"/>
    <w:rsid w:val="00E96EC4"/>
    <w:rsid w:val="00EA0012"/>
    <w:rsid w:val="00EA49DC"/>
    <w:rsid w:val="00EA528A"/>
    <w:rsid w:val="00EB01A6"/>
    <w:rsid w:val="00EB53CD"/>
    <w:rsid w:val="00EB7505"/>
    <w:rsid w:val="00EC08C7"/>
    <w:rsid w:val="00EC67EE"/>
    <w:rsid w:val="00ED2B0D"/>
    <w:rsid w:val="00ED5C6D"/>
    <w:rsid w:val="00ED6805"/>
    <w:rsid w:val="00ED795E"/>
    <w:rsid w:val="00EE0652"/>
    <w:rsid w:val="00EE1439"/>
    <w:rsid w:val="00EE1A40"/>
    <w:rsid w:val="00EE5BD0"/>
    <w:rsid w:val="00EF0BB6"/>
    <w:rsid w:val="00EF3E72"/>
    <w:rsid w:val="00EF4718"/>
    <w:rsid w:val="00F02A88"/>
    <w:rsid w:val="00F04B05"/>
    <w:rsid w:val="00F06BBC"/>
    <w:rsid w:val="00F11E13"/>
    <w:rsid w:val="00F128B9"/>
    <w:rsid w:val="00F22649"/>
    <w:rsid w:val="00F228F6"/>
    <w:rsid w:val="00F25848"/>
    <w:rsid w:val="00F258DC"/>
    <w:rsid w:val="00F25D53"/>
    <w:rsid w:val="00F310D9"/>
    <w:rsid w:val="00F33B92"/>
    <w:rsid w:val="00F371CB"/>
    <w:rsid w:val="00F37FC5"/>
    <w:rsid w:val="00F44D80"/>
    <w:rsid w:val="00F517D8"/>
    <w:rsid w:val="00F57A37"/>
    <w:rsid w:val="00F6013C"/>
    <w:rsid w:val="00F601E9"/>
    <w:rsid w:val="00F60666"/>
    <w:rsid w:val="00F61931"/>
    <w:rsid w:val="00F640DB"/>
    <w:rsid w:val="00F929A6"/>
    <w:rsid w:val="00F9324D"/>
    <w:rsid w:val="00F96BFA"/>
    <w:rsid w:val="00F9777B"/>
    <w:rsid w:val="00FA425B"/>
    <w:rsid w:val="00FB1ECB"/>
    <w:rsid w:val="00FB65EC"/>
    <w:rsid w:val="00FC0CD6"/>
    <w:rsid w:val="00FC2008"/>
    <w:rsid w:val="00FC42BF"/>
    <w:rsid w:val="00FC7FE4"/>
    <w:rsid w:val="00FD3858"/>
    <w:rsid w:val="00FE461D"/>
    <w:rsid w:val="00FE4BE2"/>
    <w:rsid w:val="00FE7684"/>
    <w:rsid w:val="00FF0A62"/>
    <w:rsid w:val="00FF2159"/>
    <w:rsid w:val="00FF5346"/>
    <w:rsid w:val="09A47200"/>
    <w:rsid w:val="121A66D9"/>
    <w:rsid w:val="12370C94"/>
    <w:rsid w:val="1307569C"/>
    <w:rsid w:val="137E2DE3"/>
    <w:rsid w:val="15CF0DD1"/>
    <w:rsid w:val="1B64025D"/>
    <w:rsid w:val="2A981DD7"/>
    <w:rsid w:val="30802C28"/>
    <w:rsid w:val="3A5E7DA1"/>
    <w:rsid w:val="426071CA"/>
    <w:rsid w:val="556938D7"/>
    <w:rsid w:val="56803007"/>
    <w:rsid w:val="6CDC59CD"/>
    <w:rsid w:val="74B0449F"/>
    <w:rsid w:val="7C86769C"/>
  </w:rsids>
  <m:mathPr>
    <m:mathFont m:val="Cambria Math"/>
    <m:brkBin m:val="before"/>
    <m:brkBinSub m:val="--"/>
    <m:smallFrac/>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04A60AC-EA9C-42EE-98B1-D1E599DE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pt-B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458"/>
    <w:rPr>
      <w:sz w:val="24"/>
      <w:szCs w:val="24"/>
    </w:rPr>
  </w:style>
  <w:style w:type="paragraph" w:styleId="Ttulo1">
    <w:name w:val="heading 1"/>
    <w:basedOn w:val="Normal"/>
    <w:next w:val="Normal"/>
    <w:qFormat/>
    <w:rsid w:val="002C1458"/>
    <w:pPr>
      <w:keepNext/>
      <w:spacing w:before="240" w:after="60"/>
      <w:outlineLvl w:val="0"/>
    </w:pPr>
    <w:rPr>
      <w:rFonts w:ascii="Arial" w:hAnsi="Arial" w:cs="Arial"/>
      <w:b/>
      <w:bCs/>
      <w:kern w:val="32"/>
      <w:sz w:val="32"/>
      <w:szCs w:val="32"/>
    </w:rPr>
  </w:style>
  <w:style w:type="paragraph" w:styleId="Ttulo3">
    <w:name w:val="heading 3"/>
    <w:basedOn w:val="Normal"/>
    <w:next w:val="Normal"/>
    <w:qFormat/>
    <w:rsid w:val="002C1458"/>
    <w:pPr>
      <w:keepNext/>
      <w:spacing w:before="360"/>
      <w:jc w:val="center"/>
      <w:outlineLvl w:val="2"/>
    </w:pPr>
    <w:rPr>
      <w:b/>
      <w:bCs/>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uiPriority w:val="39"/>
    <w:qFormat/>
    <w:rsid w:val="002C1458"/>
    <w:pPr>
      <w:spacing w:after="100" w:line="276" w:lineRule="auto"/>
      <w:ind w:left="220"/>
    </w:pPr>
    <w:rPr>
      <w:rFonts w:ascii="Calibri" w:hAnsi="Calibri"/>
      <w:sz w:val="22"/>
      <w:szCs w:val="22"/>
      <w:lang w:eastAsia="en-US"/>
    </w:rPr>
  </w:style>
  <w:style w:type="paragraph" w:styleId="Corpodetexto">
    <w:name w:val="Body Text"/>
    <w:basedOn w:val="Normal"/>
    <w:link w:val="CorpodetextoChar"/>
    <w:rsid w:val="002C1458"/>
    <w:pPr>
      <w:spacing w:after="120"/>
    </w:pPr>
    <w:rPr>
      <w:lang w:val="zh-CN" w:eastAsia="zh-CN"/>
    </w:rPr>
  </w:style>
  <w:style w:type="paragraph" w:styleId="Ttulo">
    <w:name w:val="Title"/>
    <w:basedOn w:val="Normal"/>
    <w:next w:val="Normal"/>
    <w:link w:val="TtuloChar"/>
    <w:qFormat/>
    <w:rsid w:val="002C1458"/>
    <w:pPr>
      <w:spacing w:before="480" w:after="300"/>
      <w:jc w:val="both"/>
      <w:outlineLvl w:val="0"/>
    </w:pPr>
    <w:rPr>
      <w:bCs/>
      <w:kern w:val="28"/>
      <w:szCs w:val="32"/>
    </w:rPr>
  </w:style>
  <w:style w:type="paragraph" w:styleId="NormalWeb">
    <w:name w:val="Normal (Web)"/>
    <w:basedOn w:val="Normal"/>
    <w:uiPriority w:val="99"/>
    <w:rsid w:val="002C1458"/>
    <w:pPr>
      <w:spacing w:before="100" w:beforeAutospacing="1" w:after="100" w:afterAutospacing="1"/>
    </w:pPr>
  </w:style>
  <w:style w:type="paragraph" w:styleId="Cabealho">
    <w:name w:val="header"/>
    <w:basedOn w:val="Normal"/>
    <w:link w:val="CabealhoChar"/>
    <w:uiPriority w:val="99"/>
    <w:rsid w:val="002C1458"/>
    <w:pPr>
      <w:tabs>
        <w:tab w:val="center" w:pos="4419"/>
        <w:tab w:val="right" w:pos="8838"/>
      </w:tabs>
    </w:pPr>
  </w:style>
  <w:style w:type="paragraph" w:styleId="Rodap">
    <w:name w:val="footer"/>
    <w:basedOn w:val="Normal"/>
    <w:link w:val="RodapChar"/>
    <w:uiPriority w:val="99"/>
    <w:qFormat/>
    <w:rsid w:val="002C1458"/>
    <w:pPr>
      <w:tabs>
        <w:tab w:val="center" w:pos="4419"/>
        <w:tab w:val="right" w:pos="8838"/>
      </w:tabs>
    </w:pPr>
  </w:style>
  <w:style w:type="paragraph" w:styleId="Sumrio3">
    <w:name w:val="toc 3"/>
    <w:basedOn w:val="Normal"/>
    <w:next w:val="Normal"/>
    <w:uiPriority w:val="39"/>
    <w:qFormat/>
    <w:rsid w:val="002C1458"/>
    <w:pPr>
      <w:suppressLineNumbers/>
      <w:tabs>
        <w:tab w:val="right" w:leader="dot" w:pos="8222"/>
      </w:tabs>
      <w:spacing w:after="100" w:line="276" w:lineRule="auto"/>
      <w:ind w:left="567" w:right="-1"/>
      <w:jc w:val="both"/>
    </w:pPr>
    <w:rPr>
      <w:rFonts w:ascii="Calibri" w:hAnsi="Calibri"/>
      <w:sz w:val="22"/>
      <w:szCs w:val="22"/>
      <w:lang w:eastAsia="en-US"/>
    </w:rPr>
  </w:style>
  <w:style w:type="paragraph" w:styleId="Textodebalo">
    <w:name w:val="Balloon Text"/>
    <w:basedOn w:val="Normal"/>
    <w:link w:val="TextodebaloChar"/>
    <w:qFormat/>
    <w:rsid w:val="002C1458"/>
    <w:rPr>
      <w:rFonts w:ascii="Tahoma" w:hAnsi="Tahoma" w:cs="Tahoma"/>
      <w:sz w:val="16"/>
      <w:szCs w:val="16"/>
    </w:rPr>
  </w:style>
  <w:style w:type="paragraph" w:styleId="Sumrio1">
    <w:name w:val="toc 1"/>
    <w:basedOn w:val="Normal"/>
    <w:next w:val="Normal"/>
    <w:uiPriority w:val="39"/>
    <w:qFormat/>
    <w:rsid w:val="002C1458"/>
    <w:pPr>
      <w:suppressLineNumbers/>
      <w:tabs>
        <w:tab w:val="right" w:leader="dot" w:pos="8647"/>
      </w:tabs>
      <w:spacing w:line="360" w:lineRule="auto"/>
      <w:ind w:right="-1"/>
      <w:jc w:val="both"/>
    </w:pPr>
  </w:style>
  <w:style w:type="paragraph" w:styleId="Recuodecorpodetexto">
    <w:name w:val="Body Text Indent"/>
    <w:basedOn w:val="Normal"/>
    <w:link w:val="RecuodecorpodetextoChar"/>
    <w:qFormat/>
    <w:rsid w:val="002C1458"/>
    <w:pPr>
      <w:spacing w:after="120" w:line="480" w:lineRule="auto"/>
    </w:pPr>
    <w:rPr>
      <w:lang w:val="zh-CN" w:eastAsia="zh-CN"/>
    </w:rPr>
  </w:style>
  <w:style w:type="character" w:styleId="Forte">
    <w:name w:val="Strong"/>
    <w:qFormat/>
    <w:rsid w:val="002C1458"/>
    <w:rPr>
      <w:rFonts w:cs="Times New Roman"/>
      <w:b/>
      <w:bCs/>
    </w:rPr>
  </w:style>
  <w:style w:type="character" w:styleId="Nmerodelinha">
    <w:name w:val="line number"/>
    <w:basedOn w:val="Fontepargpadro"/>
    <w:qFormat/>
    <w:rsid w:val="002C1458"/>
  </w:style>
  <w:style w:type="character" w:styleId="Hyperlink">
    <w:name w:val="Hyperlink"/>
    <w:uiPriority w:val="99"/>
    <w:rsid w:val="002C1458"/>
    <w:rPr>
      <w:color w:val="0000FF"/>
      <w:u w:val="single"/>
    </w:rPr>
  </w:style>
  <w:style w:type="table" w:styleId="Tabelacomgrade">
    <w:name w:val="Table Grid"/>
    <w:basedOn w:val="Tabelanormal"/>
    <w:uiPriority w:val="59"/>
    <w:qFormat/>
    <w:rsid w:val="002C1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bealhoChar">
    <w:name w:val="Cabeçalho Char"/>
    <w:link w:val="Cabealho"/>
    <w:uiPriority w:val="99"/>
    <w:qFormat/>
    <w:locked/>
    <w:rsid w:val="002C1458"/>
    <w:rPr>
      <w:sz w:val="24"/>
      <w:szCs w:val="24"/>
      <w:lang w:val="pt-BR" w:eastAsia="pt-BR" w:bidi="ar-SA"/>
    </w:rPr>
  </w:style>
  <w:style w:type="paragraph" w:customStyle="1" w:styleId="CabealhodoSumrio1">
    <w:name w:val="Cabeçalho do Sumário1"/>
    <w:basedOn w:val="Ttulo1"/>
    <w:next w:val="Normal"/>
    <w:qFormat/>
    <w:rsid w:val="002C1458"/>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TtuloChar">
    <w:name w:val="Título Char"/>
    <w:link w:val="Ttulo"/>
    <w:qFormat/>
    <w:locked/>
    <w:rsid w:val="002C1458"/>
    <w:rPr>
      <w:bCs/>
      <w:kern w:val="28"/>
      <w:sz w:val="24"/>
      <w:szCs w:val="32"/>
      <w:lang w:val="pt-BR" w:eastAsia="pt-BR" w:bidi="ar-SA"/>
    </w:rPr>
  </w:style>
  <w:style w:type="paragraph" w:customStyle="1" w:styleId="Corpodetexto21">
    <w:name w:val="Corpo de texto 21"/>
    <w:basedOn w:val="Normal"/>
    <w:qFormat/>
    <w:rsid w:val="002C1458"/>
    <w:pPr>
      <w:overflowPunct w:val="0"/>
      <w:autoSpaceDE w:val="0"/>
      <w:autoSpaceDN w:val="0"/>
      <w:adjustRightInd w:val="0"/>
      <w:jc w:val="both"/>
      <w:textAlignment w:val="baseline"/>
    </w:pPr>
    <w:rPr>
      <w:color w:val="0000FF"/>
      <w:szCs w:val="20"/>
    </w:rPr>
  </w:style>
  <w:style w:type="character" w:customStyle="1" w:styleId="RodapChar">
    <w:name w:val="Rodapé Char"/>
    <w:link w:val="Rodap"/>
    <w:uiPriority w:val="99"/>
    <w:qFormat/>
    <w:locked/>
    <w:rsid w:val="002C1458"/>
    <w:rPr>
      <w:sz w:val="24"/>
      <w:szCs w:val="24"/>
      <w:lang w:val="pt-BR" w:eastAsia="pt-BR" w:bidi="ar-SA"/>
    </w:rPr>
  </w:style>
  <w:style w:type="paragraph" w:customStyle="1" w:styleId="CabealhodoSumrio2">
    <w:name w:val="Cabeçalho do Sumário2"/>
    <w:basedOn w:val="Ttulo1"/>
    <w:next w:val="Normal"/>
    <w:uiPriority w:val="39"/>
    <w:unhideWhenUsed/>
    <w:qFormat/>
    <w:rsid w:val="002C1458"/>
    <w:pPr>
      <w:outlineLvl w:val="9"/>
    </w:pPr>
    <w:rPr>
      <w:rFonts w:ascii="Calibri Light" w:hAnsi="Calibri Light" w:cs="Times New Roman"/>
    </w:rPr>
  </w:style>
  <w:style w:type="character" w:customStyle="1" w:styleId="A4">
    <w:name w:val="A4"/>
    <w:uiPriority w:val="99"/>
    <w:rsid w:val="002C1458"/>
    <w:rPr>
      <w:rFonts w:cs="Book Antiqua"/>
      <w:color w:val="000000"/>
      <w:sz w:val="18"/>
      <w:szCs w:val="18"/>
    </w:rPr>
  </w:style>
  <w:style w:type="character" w:customStyle="1" w:styleId="A1">
    <w:name w:val="A1"/>
    <w:uiPriority w:val="99"/>
    <w:rsid w:val="002C1458"/>
    <w:rPr>
      <w:rFonts w:cs="Book Antiqua"/>
      <w:color w:val="000000"/>
      <w:sz w:val="20"/>
      <w:szCs w:val="20"/>
    </w:rPr>
  </w:style>
  <w:style w:type="character" w:customStyle="1" w:styleId="A2">
    <w:name w:val="A2"/>
    <w:uiPriority w:val="99"/>
    <w:qFormat/>
    <w:rsid w:val="002C1458"/>
    <w:rPr>
      <w:rFonts w:cs="Book Antiqua"/>
      <w:color w:val="000000"/>
      <w:sz w:val="11"/>
      <w:szCs w:val="11"/>
    </w:rPr>
  </w:style>
  <w:style w:type="character" w:customStyle="1" w:styleId="RecuodecorpodetextoChar">
    <w:name w:val="Recuo de corpo de texto Char"/>
    <w:link w:val="Recuodecorpodetexto"/>
    <w:qFormat/>
    <w:rsid w:val="002C1458"/>
    <w:rPr>
      <w:sz w:val="24"/>
      <w:szCs w:val="24"/>
    </w:rPr>
  </w:style>
  <w:style w:type="character" w:customStyle="1" w:styleId="CorpodetextoChar">
    <w:name w:val="Corpo de texto Char"/>
    <w:link w:val="Corpodetexto"/>
    <w:qFormat/>
    <w:rsid w:val="002C1458"/>
    <w:rPr>
      <w:sz w:val="24"/>
      <w:szCs w:val="24"/>
    </w:rPr>
  </w:style>
  <w:style w:type="character" w:customStyle="1" w:styleId="apple-converted-space">
    <w:name w:val="apple-converted-space"/>
    <w:basedOn w:val="Fontepargpadro"/>
    <w:qFormat/>
    <w:rsid w:val="002C1458"/>
  </w:style>
  <w:style w:type="character" w:customStyle="1" w:styleId="TextodebaloChar">
    <w:name w:val="Texto de balão Char"/>
    <w:basedOn w:val="Fontepargpadro"/>
    <w:link w:val="Textodebalo"/>
    <w:qFormat/>
    <w:rsid w:val="002C1458"/>
    <w:rPr>
      <w:rFonts w:ascii="Tahoma" w:hAnsi="Tahoma" w:cs="Tahoma"/>
      <w:sz w:val="16"/>
      <w:szCs w:val="16"/>
      <w:lang w:eastAsia="pt-BR"/>
    </w:rPr>
  </w:style>
  <w:style w:type="paragraph" w:customStyle="1" w:styleId="Default">
    <w:name w:val="Default"/>
    <w:qFormat/>
    <w:rsid w:val="002C1458"/>
    <w:pPr>
      <w:autoSpaceDE w:val="0"/>
      <w:autoSpaceDN w:val="0"/>
      <w:adjustRightInd w:val="0"/>
    </w:pPr>
    <w:rPr>
      <w:rFonts w:ascii="Book Antiqua" w:hAnsi="Book Antiqua" w:cs="Book Antiqua"/>
      <w:color w:val="000000"/>
      <w:sz w:val="24"/>
      <w:szCs w:val="24"/>
    </w:rPr>
  </w:style>
  <w:style w:type="paragraph" w:styleId="PargrafodaLista">
    <w:name w:val="List Paragraph"/>
    <w:basedOn w:val="Normal"/>
    <w:uiPriority w:val="99"/>
    <w:rsid w:val="005D7AB5"/>
    <w:pPr>
      <w:ind w:left="720"/>
      <w:contextualSpacing/>
    </w:pPr>
  </w:style>
  <w:style w:type="character" w:styleId="Refdecomentrio">
    <w:name w:val="annotation reference"/>
    <w:basedOn w:val="Fontepargpadro"/>
    <w:semiHidden/>
    <w:unhideWhenUsed/>
    <w:rsid w:val="00F6013C"/>
    <w:rPr>
      <w:sz w:val="16"/>
      <w:szCs w:val="16"/>
    </w:rPr>
  </w:style>
  <w:style w:type="paragraph" w:styleId="Textodecomentrio">
    <w:name w:val="annotation text"/>
    <w:basedOn w:val="Normal"/>
    <w:link w:val="TextodecomentrioChar"/>
    <w:semiHidden/>
    <w:unhideWhenUsed/>
    <w:rsid w:val="00F6013C"/>
    <w:pPr>
      <w:spacing w:line="240" w:lineRule="auto"/>
    </w:pPr>
    <w:rPr>
      <w:sz w:val="20"/>
      <w:szCs w:val="20"/>
    </w:rPr>
  </w:style>
  <w:style w:type="character" w:customStyle="1" w:styleId="TextodecomentrioChar">
    <w:name w:val="Texto de comentário Char"/>
    <w:basedOn w:val="Fontepargpadro"/>
    <w:link w:val="Textodecomentrio"/>
    <w:semiHidden/>
    <w:rsid w:val="00F6013C"/>
  </w:style>
  <w:style w:type="paragraph" w:styleId="Assuntodocomentrio">
    <w:name w:val="annotation subject"/>
    <w:basedOn w:val="Textodecomentrio"/>
    <w:next w:val="Textodecomentrio"/>
    <w:link w:val="AssuntodocomentrioChar"/>
    <w:semiHidden/>
    <w:unhideWhenUsed/>
    <w:rsid w:val="00F6013C"/>
    <w:rPr>
      <w:b/>
      <w:bCs/>
    </w:rPr>
  </w:style>
  <w:style w:type="character" w:customStyle="1" w:styleId="AssuntodocomentrioChar">
    <w:name w:val="Assunto do comentário Char"/>
    <w:basedOn w:val="TextodecomentrioChar"/>
    <w:link w:val="Assuntodocomentrio"/>
    <w:semiHidden/>
    <w:rsid w:val="00F6013C"/>
    <w:rPr>
      <w:b/>
      <w:bCs/>
    </w:rPr>
  </w:style>
  <w:style w:type="table" w:customStyle="1" w:styleId="TableGrid">
    <w:name w:val="TableGrid"/>
    <w:rsid w:val="00D47CE9"/>
    <w:pPr>
      <w:spacing w:after="0" w:line="240" w:lineRule="auto"/>
    </w:pPr>
    <w:rPr>
      <w:rFonts w:asciiTheme="minorHAnsi" w:hAnsiTheme="minorHAnsi" w:cstheme="minorBidi"/>
      <w:sz w:val="22"/>
      <w:szCs w:val="22"/>
    </w:rPr>
    <w:tblPr>
      <w:tblCellMar>
        <w:top w:w="0" w:type="dxa"/>
        <w:left w:w="0" w:type="dxa"/>
        <w:bottom w:w="0" w:type="dxa"/>
        <w:right w:w="0" w:type="dxa"/>
      </w:tblCellMar>
    </w:tblPr>
  </w:style>
  <w:style w:type="paragraph" w:styleId="CabealhodoSumrio">
    <w:name w:val="TOC Heading"/>
    <w:basedOn w:val="Ttulo1"/>
    <w:next w:val="Normal"/>
    <w:uiPriority w:val="39"/>
    <w:unhideWhenUsed/>
    <w:qFormat/>
    <w:rsid w:val="000F1471"/>
    <w:pPr>
      <w:keepLines/>
      <w:spacing w:after="0"/>
      <w:outlineLvl w:val="9"/>
    </w:pPr>
    <w:rPr>
      <w:rFonts w:asciiTheme="majorHAnsi" w:eastAsiaTheme="majorEastAsia" w:hAnsiTheme="majorHAnsi" w:cstheme="majorBidi"/>
      <w:b w:val="0"/>
      <w:bCs w:val="0"/>
      <w:color w:val="2F5496" w:themeColor="accent1" w:themeShade="BF"/>
      <w:kern w:val="0"/>
    </w:rPr>
  </w:style>
  <w:style w:type="paragraph" w:styleId="Textodenotaderodap">
    <w:name w:val="footnote text"/>
    <w:basedOn w:val="Normal"/>
    <w:link w:val="TextodenotaderodapChar"/>
    <w:semiHidden/>
    <w:unhideWhenUsed/>
    <w:rsid w:val="00934AF2"/>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934AF2"/>
  </w:style>
  <w:style w:type="character" w:styleId="Refdenotaderodap">
    <w:name w:val="footnote reference"/>
    <w:basedOn w:val="Fontepargpadro"/>
    <w:semiHidden/>
    <w:unhideWhenUsed/>
    <w:rsid w:val="00934A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42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oleObject" Target="embeddings/oleObject9.bin"/><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B8F34C-07BC-4882-BF2C-D8DB5CDC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7596</TotalTime>
  <Pages>33</Pages>
  <Words>8566</Words>
  <Characters>46259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UNIVERSIDADE ESTADUAL DE MARINGÁ</vt:lpstr>
    </vt:vector>
  </TitlesOfParts>
  <Company>casa</Company>
  <LinksUpToDate>false</LinksUpToDate>
  <CharactersWithSpaces>54716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ESTADUAL DE MARINGÁ</dc:title>
  <dc:creator>Proprietario</dc:creator>
  <cp:lastModifiedBy>CLIENTE</cp:lastModifiedBy>
  <cp:revision>164</cp:revision>
  <dcterms:created xsi:type="dcterms:W3CDTF">2018-07-02T14:49:00Z</dcterms:created>
  <dcterms:modified xsi:type="dcterms:W3CDTF">2020-09-26T14:02:00Z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